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00" w:rsidRDefault="00393300" w:rsidP="003933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300" w:rsidRDefault="00393300" w:rsidP="00393300">
      <w:pPr>
        <w:widowControl w:val="0"/>
        <w:autoSpaceDE w:val="0"/>
        <w:autoSpaceDN w:val="0"/>
        <w:adjustRightInd w:val="0"/>
      </w:pPr>
      <w:r>
        <w:t>SOURCE:  Adopted at 3 Ill. Reg. 50, p. 265, effective December 3, 1979; emergency repealer and emergency rule adopted at 6 Ill. Reg. 5830, effective April 23, 1982, for a maximum of 150 days; rules repealed and new rules adopted and codified at 6 Ill. Reg. 15181, effective December 7, 1982; amended at 10 Ill. Reg. 14672, effective August 25, 1986; emergency amendment at 24 Ill. Reg. 7557, effective May 3, 2000, for a maximum of 150 days; amended at 24 Ill. Reg. 14738, effective September 2</w:t>
      </w:r>
      <w:r w:rsidR="00FA1960">
        <w:t xml:space="preserve">5, 2000. </w:t>
      </w:r>
    </w:p>
    <w:sectPr w:rsidR="00393300" w:rsidSect="003933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300"/>
    <w:rsid w:val="001930C5"/>
    <w:rsid w:val="001F37AB"/>
    <w:rsid w:val="00393300"/>
    <w:rsid w:val="005C3366"/>
    <w:rsid w:val="00D32CD4"/>
    <w:rsid w:val="00F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