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BB" w:rsidRDefault="003B3EBB" w:rsidP="003B3E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3EBB" w:rsidRDefault="003B3EBB" w:rsidP="003B3EBB">
      <w:pPr>
        <w:widowControl w:val="0"/>
        <w:autoSpaceDE w:val="0"/>
        <w:autoSpaceDN w:val="0"/>
        <w:adjustRightInd w:val="0"/>
      </w:pPr>
      <w:r>
        <w:t>SOURCE:  Effective June 15, 1934;</w:t>
      </w:r>
      <w:r w:rsidR="00712F6E">
        <w:t xml:space="preserve"> codified at 7 Ill. Reg. 2355. </w:t>
      </w:r>
    </w:p>
    <w:sectPr w:rsidR="003B3EBB" w:rsidSect="003B3E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EBB"/>
    <w:rsid w:val="0006130F"/>
    <w:rsid w:val="003B3EBB"/>
    <w:rsid w:val="005C3366"/>
    <w:rsid w:val="005F68F5"/>
    <w:rsid w:val="00712F6E"/>
    <w:rsid w:val="00E2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June 15, 1934; codified at 7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June 15, 1934;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