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28" w:rsidRDefault="002D4F28" w:rsidP="002D4F2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AUTHORITY:  Implementing and authorized by Section 2 of the Gasoline Storage Act [430 ILCS 15/2]. </w:t>
      </w:r>
    </w:p>
    <w:p w:rsidR="002D4F28" w:rsidRDefault="002D4F28" w:rsidP="002D4F28">
      <w:pPr>
        <w:widowControl w:val="0"/>
        <w:autoSpaceDE w:val="0"/>
        <w:autoSpaceDN w:val="0"/>
        <w:adjustRightInd w:val="0"/>
      </w:pPr>
    </w:p>
    <w:sectPr w:rsidR="002D4F28" w:rsidSect="00214DA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B2A"/>
    <w:rsid w:val="00014122"/>
    <w:rsid w:val="00214DAC"/>
    <w:rsid w:val="002D4F28"/>
    <w:rsid w:val="005B42F4"/>
    <w:rsid w:val="0093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F2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F2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 of the Gasoline Storage Act [430 ILCS 15/2]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 of the Gasoline Storage Act [430 ILCS 15/2]</dc:title>
  <dc:subject/>
  <dc:creator>DottsJM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