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E19" w:rsidRDefault="005A7E19" w:rsidP="005A7E19">
      <w:bookmarkStart w:id="0" w:name="_GoBack"/>
      <w:bookmarkEnd w:id="0"/>
    </w:p>
    <w:p w:rsidR="009E39DF" w:rsidRPr="005A7E19" w:rsidRDefault="009E39DF" w:rsidP="005A7E19">
      <w:pPr>
        <w:rPr>
          <w:b/>
        </w:rPr>
      </w:pPr>
      <w:r w:rsidRPr="005A7E19">
        <w:rPr>
          <w:b/>
        </w:rPr>
        <w:t>Section 176.460  Pre</w:t>
      </w:r>
      <w:r w:rsidR="005A7E19" w:rsidRPr="005A7E19">
        <w:rPr>
          <w:b/>
        </w:rPr>
        <w:t>-'</w:t>
      </w:r>
      <w:r w:rsidRPr="005A7E19">
        <w:rPr>
          <w:b/>
        </w:rPr>
        <w:t>74 and Heating Oil USTs</w:t>
      </w:r>
    </w:p>
    <w:p w:rsidR="005A7E19" w:rsidRDefault="005A7E19" w:rsidP="005A7E19"/>
    <w:p w:rsidR="009E39DF" w:rsidRPr="005A7E19" w:rsidRDefault="009E39DF" w:rsidP="005A7E19">
      <w:r w:rsidRPr="005A7E19">
        <w:t xml:space="preserve">USTs not in operation at any time after January 1, 1974 (commonly referred to as </w:t>
      </w:r>
      <w:r w:rsidR="005A7E19">
        <w:t>"</w:t>
      </w:r>
      <w:r w:rsidRPr="005A7E19">
        <w:t>pre-</w:t>
      </w:r>
      <w:r w:rsidR="005A7E19">
        <w:t>'</w:t>
      </w:r>
      <w:r w:rsidRPr="005A7E19">
        <w:t>74 USTs</w:t>
      </w:r>
      <w:r w:rsidR="005A7E19">
        <w:t>"</w:t>
      </w:r>
      <w:r w:rsidRPr="005A7E19">
        <w:t xml:space="preserve">), and non-farm and non-residential heating oil USTs for consumptive use on the premises where stored, remain classified as USTs and require a permit to be abandoned-in-place or removed and are subject to all other applicable UST requirements, except for those requirements specifically exempted by this Section or by Section 176.440.  </w:t>
      </w:r>
    </w:p>
    <w:p w:rsidR="005A7E19" w:rsidRDefault="005A7E19" w:rsidP="005A7E19">
      <w:bookmarkStart w:id="1" w:name="_Toc166049816"/>
    </w:p>
    <w:p w:rsidR="009E39DF" w:rsidRPr="005A7E19" w:rsidRDefault="009E39DF" w:rsidP="005A7E19">
      <w:pPr>
        <w:ind w:left="1440" w:hanging="720"/>
      </w:pPr>
      <w:r w:rsidRPr="005A7E19">
        <w:t>a)</w:t>
      </w:r>
      <w:r w:rsidR="005A7E19">
        <w:tab/>
      </w:r>
      <w:r w:rsidRPr="005A7E19">
        <w:t>Pursuant to Sections 2(3)(f) and 4(b)(1)(A) of the Gasoline Storage Act, pre-</w:t>
      </w:r>
      <w:r w:rsidR="005A7E19">
        <w:t>'</w:t>
      </w:r>
      <w:r w:rsidRPr="005A7E19">
        <w:t xml:space="preserve">74 USTs are not required to be registered and need not be removed, unless the OSFM has determined that a release from the USTs poses a current or potential threat to human health and the environment. </w:t>
      </w:r>
      <w:bookmarkStart w:id="2" w:name="_Toc166049817"/>
      <w:bookmarkEnd w:id="1"/>
      <w:r w:rsidRPr="005A7E19">
        <w:t xml:space="preserve"> </w:t>
      </w:r>
    </w:p>
    <w:p w:rsidR="005A7E19" w:rsidRDefault="005A7E19" w:rsidP="005A7E19"/>
    <w:p w:rsidR="009E39DF" w:rsidRPr="005A7E19" w:rsidRDefault="009E39DF" w:rsidP="005A7E19">
      <w:pPr>
        <w:ind w:left="1440" w:hanging="720"/>
      </w:pPr>
      <w:r w:rsidRPr="005A7E19">
        <w:t>b)</w:t>
      </w:r>
      <w:r w:rsidR="005A7E19">
        <w:tab/>
      </w:r>
      <w:r w:rsidRPr="005A7E19">
        <w:t>In accord</w:t>
      </w:r>
      <w:r w:rsidR="00966156">
        <w:t>ance</w:t>
      </w:r>
      <w:r w:rsidRPr="005A7E19">
        <w:t xml:space="preserve"> with Section 57.5(g) of the Illinois Environmental Protection Act [415 ILCS 5/57.5(g)] and Sectio</w:t>
      </w:r>
      <w:r w:rsidR="00966156">
        <w:t>n 4 of the Gasoline Storage Act</w:t>
      </w:r>
      <w:r w:rsidRPr="005A7E19">
        <w:t xml:space="preserve">, </w:t>
      </w:r>
      <w:r w:rsidR="00A3002A">
        <w:t xml:space="preserve">a </w:t>
      </w:r>
      <w:r w:rsidR="00966156">
        <w:t>h</w:t>
      </w:r>
      <w:r w:rsidR="00A3002A">
        <w:t>eating oil UST</w:t>
      </w:r>
      <w:r w:rsidRPr="005A7E19">
        <w:t xml:space="preserve"> for consumptive use on the premises where stored, regardless </w:t>
      </w:r>
      <w:r w:rsidR="00966156">
        <w:t xml:space="preserve">of </w:t>
      </w:r>
      <w:r w:rsidRPr="005A7E19">
        <w:t>when last in operation,</w:t>
      </w:r>
      <w:r w:rsidR="00966156">
        <w:t xml:space="preserve"> </w:t>
      </w:r>
      <w:r w:rsidR="00A3002A">
        <w:t>is</w:t>
      </w:r>
      <w:r w:rsidR="00966156">
        <w:t xml:space="preserve"> not required to be removed</w:t>
      </w:r>
      <w:r w:rsidRPr="005A7E19">
        <w:t xml:space="preserve"> unless OSFM has determined that a release from the UST poses a current or potential threat to human health and the environment. However, the</w:t>
      </w:r>
      <w:r w:rsidR="00A3002A">
        <w:t xml:space="preserve"> UST is</w:t>
      </w:r>
      <w:r w:rsidRPr="005A7E19">
        <w:t xml:space="preserve"> subject to the notification requirements, as well as compliance with all other applicable Sections of 41 Ill. Adm. Code 175 and </w:t>
      </w:r>
      <w:r w:rsidR="00966156">
        <w:t>this Part</w:t>
      </w:r>
      <w:r w:rsidRPr="005A7E19">
        <w:t xml:space="preserve">. </w:t>
      </w:r>
      <w:bookmarkEnd w:id="2"/>
    </w:p>
    <w:p w:rsidR="005A7E19" w:rsidRDefault="005A7E19" w:rsidP="005A7E19">
      <w:bookmarkStart w:id="3" w:name="_Toc166049819"/>
    </w:p>
    <w:p w:rsidR="009E39DF" w:rsidRPr="005A7E19" w:rsidRDefault="009E39DF" w:rsidP="005A7E19">
      <w:pPr>
        <w:ind w:left="1440" w:hanging="720"/>
      </w:pPr>
      <w:r w:rsidRPr="005A7E19">
        <w:t>c)</w:t>
      </w:r>
      <w:r w:rsidR="005A7E19">
        <w:tab/>
      </w:r>
      <w:r w:rsidRPr="005A7E19">
        <w:t xml:space="preserve">Heating oil USTs installed prior to April 1, 1995 are not required to meet the upgrade requirements for corrosion protection, spill and overfill prevention, and release detection in 41 Ill. Adm. Code 174 </w:t>
      </w:r>
      <w:r w:rsidR="00966156">
        <w:t>and 175 and this Part</w:t>
      </w:r>
      <w:r w:rsidRPr="005A7E19">
        <w:t xml:space="preserve">.  Heating oil USTs installed after April 1, 1995 must meet all current upgrade requirements outlined in 41 Ill. Adm. Code 174 </w:t>
      </w:r>
      <w:r w:rsidR="00966156">
        <w:t>and 175 and this Part</w:t>
      </w:r>
      <w:r w:rsidRPr="005A7E19">
        <w:t>, including permitting.</w:t>
      </w:r>
      <w:bookmarkEnd w:id="3"/>
    </w:p>
    <w:p w:rsidR="005A7E19" w:rsidRDefault="005A7E19" w:rsidP="005A7E19">
      <w:bookmarkStart w:id="4" w:name="_Toc166049820"/>
    </w:p>
    <w:p w:rsidR="00AC42DC" w:rsidRDefault="009E39DF" w:rsidP="005A7E19">
      <w:pPr>
        <w:ind w:left="1440" w:hanging="720"/>
      </w:pPr>
      <w:r w:rsidRPr="005A7E19">
        <w:t>d)</w:t>
      </w:r>
      <w:r w:rsidR="005A7E19">
        <w:tab/>
        <w:t>If any pre-'</w:t>
      </w:r>
      <w:r w:rsidRPr="005A7E19">
        <w:t>74 tank, heating oil or otherwise, discovered during any activity is found to be damaged or is damaged at the time of discovery, it shall be removed. No structure shall be erected over pre</w:t>
      </w:r>
      <w:r w:rsidR="005A7E19">
        <w:t>-'</w:t>
      </w:r>
      <w:r w:rsidRPr="005A7E19">
        <w:t>74 tanks, heating oil or otherwise, and they must be removed by an OSFM-licensed contractor. All applicable permits apply.</w:t>
      </w:r>
      <w:bookmarkEnd w:id="4"/>
    </w:p>
    <w:sectPr w:rsidR="00AC42DC"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706" w:rsidRDefault="004E6706">
      <w:r>
        <w:separator/>
      </w:r>
    </w:p>
  </w:endnote>
  <w:endnote w:type="continuationSeparator" w:id="0">
    <w:p w:rsidR="004E6706" w:rsidRDefault="004E6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706" w:rsidRDefault="004E6706">
      <w:r>
        <w:separator/>
      </w:r>
    </w:p>
  </w:footnote>
  <w:footnote w:type="continuationSeparator" w:id="0">
    <w:p w:rsidR="004E6706" w:rsidRDefault="004E67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4734C0"/>
    <w:multiLevelType w:val="multilevel"/>
    <w:tmpl w:val="CCE63F48"/>
    <w:name w:val="zzmpOutline3||Outline3|2|3|1|0|0|33||1|0|0||1|0|0||1|0|0||1|0|0||1|0|33||1|0|0||1|0|0||1|0|0||2"/>
    <w:lvl w:ilvl="0">
      <w:start w:val="1"/>
      <w:numFmt w:val="none"/>
      <w:pStyle w:val="Outline3L1"/>
      <w:suff w:val="nothing"/>
      <w:lvlText w:val=""/>
      <w:lvlJc w:val="left"/>
      <w:pPr>
        <w:ind w:left="720" w:hanging="720"/>
      </w:pPr>
      <w:rPr>
        <w:rFonts w:ascii="Times New Roman" w:hAnsi="Times New Roman" w:cs="Times New Roman" w:hint="default"/>
        <w:b/>
        <w:i w:val="0"/>
        <w:caps w:val="0"/>
        <w:strike w:val="0"/>
        <w:dstrike w:val="0"/>
        <w:sz w:val="24"/>
        <w:u w:val="none"/>
        <w:effect w:val="none"/>
      </w:rPr>
    </w:lvl>
    <w:lvl w:ilvl="1">
      <w:start w:val="1"/>
      <w:numFmt w:val="lowerLetter"/>
      <w:pStyle w:val="Outline3L2"/>
      <w:lvlText w:val="%2)"/>
      <w:lvlJc w:val="left"/>
      <w:pPr>
        <w:tabs>
          <w:tab w:val="num" w:pos="1440"/>
        </w:tabs>
        <w:ind w:left="1440" w:hanging="720"/>
      </w:pPr>
      <w:rPr>
        <w:rFonts w:ascii="Times New Roman" w:hAnsi="Times New Roman" w:cs="Times New Roman" w:hint="default"/>
        <w:b w:val="0"/>
        <w:i w:val="0"/>
        <w:caps w:val="0"/>
        <w:strike w:val="0"/>
        <w:dstrike w:val="0"/>
        <w:sz w:val="24"/>
        <w:u w:val="none"/>
        <w:effect w:val="none"/>
      </w:rPr>
    </w:lvl>
    <w:lvl w:ilvl="2">
      <w:start w:val="15"/>
      <w:numFmt w:val="decimal"/>
      <w:pStyle w:val="Outline3L3"/>
      <w:lvlText w:val="%3)"/>
      <w:lvlJc w:val="left"/>
      <w:pPr>
        <w:tabs>
          <w:tab w:val="num" w:pos="3360"/>
        </w:tabs>
        <w:ind w:left="3360" w:hanging="720"/>
      </w:pPr>
      <w:rPr>
        <w:rFonts w:ascii="Times New Roman" w:hAnsi="Times New Roman" w:cs="Times New Roman" w:hint="default"/>
        <w:b w:val="0"/>
        <w:i w:val="0"/>
        <w:caps w:val="0"/>
        <w:strike w:val="0"/>
        <w:dstrike w:val="0"/>
        <w:sz w:val="24"/>
        <w:u w:val="none"/>
        <w:effect w:val="none"/>
      </w:rPr>
    </w:lvl>
    <w:lvl w:ilvl="3">
      <w:start w:val="2"/>
      <w:numFmt w:val="upperLetter"/>
      <w:pStyle w:val="Outline3L4"/>
      <w:lvlText w:val="%4)"/>
      <w:lvlJc w:val="left"/>
      <w:pPr>
        <w:tabs>
          <w:tab w:val="num" w:pos="4440"/>
        </w:tabs>
        <w:ind w:left="4440" w:hanging="720"/>
      </w:pPr>
      <w:rPr>
        <w:rFonts w:ascii="Times New Roman" w:hAnsi="Times New Roman" w:cs="Times New Roman" w:hint="default"/>
        <w:b w:val="0"/>
        <w:i w:val="0"/>
        <w:caps w:val="0"/>
        <w:strike w:val="0"/>
        <w:dstrike w:val="0"/>
        <w:sz w:val="24"/>
        <w:u w:val="none"/>
        <w:effect w:val="none"/>
      </w:rPr>
    </w:lvl>
    <w:lvl w:ilvl="4">
      <w:start w:val="1"/>
      <w:numFmt w:val="lowerRoman"/>
      <w:pStyle w:val="Outline3L5"/>
      <w:lvlText w:val="%5"/>
      <w:lvlJc w:val="left"/>
      <w:pPr>
        <w:tabs>
          <w:tab w:val="num" w:pos="3600"/>
        </w:tabs>
        <w:ind w:left="3600" w:hanging="720"/>
      </w:pPr>
      <w:rPr>
        <w:rFonts w:ascii="Times New Roman" w:hAnsi="Times New Roman" w:cs="Times New Roman" w:hint="default"/>
        <w:b w:val="0"/>
        <w:i w:val="0"/>
        <w:caps w:val="0"/>
        <w:strike w:val="0"/>
        <w:dstrike w:val="0"/>
        <w:sz w:val="24"/>
        <w:u w:val="none"/>
        <w:effect w:val="none"/>
      </w:rPr>
    </w:lvl>
    <w:lvl w:ilvl="5">
      <w:start w:val="1"/>
      <w:numFmt w:val="lowerRoman"/>
      <w:pStyle w:val="Outline3L6"/>
      <w:lvlText w:val="%6."/>
      <w:lvlJc w:val="left"/>
      <w:pPr>
        <w:tabs>
          <w:tab w:val="num" w:pos="720"/>
        </w:tabs>
        <w:ind w:left="720" w:hanging="720"/>
      </w:pPr>
      <w:rPr>
        <w:rFonts w:ascii="Times New Roman" w:hAnsi="Times New Roman" w:cs="Times New Roman" w:hint="default"/>
        <w:b/>
        <w:i w:val="0"/>
        <w:caps w:val="0"/>
        <w:strike w:val="0"/>
        <w:dstrike w:val="0"/>
        <w:sz w:val="24"/>
        <w:u w:val="none"/>
        <w:effect w:val="none"/>
      </w:rPr>
    </w:lvl>
    <w:lvl w:ilvl="6">
      <w:start w:val="1"/>
      <w:numFmt w:val="lowerLetter"/>
      <w:pStyle w:val="Outline3L7"/>
      <w:lvlText w:val="%7."/>
      <w:lvlJc w:val="left"/>
      <w:pPr>
        <w:tabs>
          <w:tab w:val="num" w:pos="1440"/>
        </w:tabs>
        <w:ind w:left="1440" w:hanging="720"/>
      </w:pPr>
      <w:rPr>
        <w:rFonts w:ascii="Times New Roman" w:hAnsi="Times New Roman" w:cs="Times New Roman" w:hint="default"/>
        <w:b w:val="0"/>
        <w:i w:val="0"/>
        <w:caps w:val="0"/>
        <w:strike w:val="0"/>
        <w:dstrike w:val="0"/>
        <w:sz w:val="24"/>
        <w:u w:val="none"/>
        <w:effect w:val="none"/>
      </w:rPr>
    </w:lvl>
    <w:lvl w:ilvl="7">
      <w:start w:val="1"/>
      <w:numFmt w:val="lowerLetter"/>
      <w:pStyle w:val="Outline3L8"/>
      <w:lvlText w:val="%8."/>
      <w:lvlJc w:val="left"/>
      <w:pPr>
        <w:tabs>
          <w:tab w:val="num" w:pos="4320"/>
        </w:tabs>
        <w:ind w:left="2880" w:firstLine="720"/>
      </w:pPr>
      <w:rPr>
        <w:rFonts w:ascii="Times New Roman" w:hAnsi="Times New Roman" w:cs="Times New Roman" w:hint="default"/>
        <w:b w:val="0"/>
        <w:i w:val="0"/>
        <w:caps w:val="0"/>
        <w:strike w:val="0"/>
        <w:dstrike w:val="0"/>
        <w:sz w:val="24"/>
        <w:u w:val="none"/>
        <w:effect w:val="none"/>
      </w:rPr>
    </w:lvl>
    <w:lvl w:ilvl="8">
      <w:start w:val="1"/>
      <w:numFmt w:val="lowerRoman"/>
      <w:pStyle w:val="Outline3L9"/>
      <w:lvlText w:val="%9."/>
      <w:lvlJc w:val="left"/>
      <w:pPr>
        <w:tabs>
          <w:tab w:val="num" w:pos="5040"/>
        </w:tabs>
        <w:ind w:left="3600" w:firstLine="720"/>
      </w:pPr>
      <w:rPr>
        <w:rFonts w:ascii="Times New Roman" w:hAnsi="Times New Roman" w:cs="Times New Roman" w:hint="default"/>
        <w:b w:val="0"/>
        <w:i w:val="0"/>
        <w:caps w:val="0"/>
        <w:strike w:val="0"/>
        <w:dstrike w:val="0"/>
        <w:sz w:val="24"/>
        <w:u w:val="none"/>
        <w:effect w:val="none"/>
      </w:rPr>
    </w:lvl>
  </w:abstractNum>
  <w:num w:numId="1">
    <w:abstractNumId w:val="0"/>
    <w:lvlOverride w:ilvl="0">
      <w:startOverride w:val="1"/>
    </w:lvlOverride>
    <w:lvlOverride w:ilvl="1">
      <w:startOverride w:val="1"/>
    </w:lvlOverride>
    <w:lvlOverride w:ilvl="2">
      <w:startOverride w:val="15"/>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E39DF"/>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76471"/>
    <w:rsid w:val="00383A68"/>
    <w:rsid w:val="00385640"/>
    <w:rsid w:val="0039051B"/>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3BBF"/>
    <w:rsid w:val="004D6EED"/>
    <w:rsid w:val="004D73D3"/>
    <w:rsid w:val="004E49DF"/>
    <w:rsid w:val="004E513F"/>
    <w:rsid w:val="004E6706"/>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288F"/>
    <w:rsid w:val="005A73F7"/>
    <w:rsid w:val="005A7E19"/>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15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39DF"/>
    <w:rsid w:val="009E4AE1"/>
    <w:rsid w:val="009E4EBC"/>
    <w:rsid w:val="009F1070"/>
    <w:rsid w:val="009F44D2"/>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002A"/>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2DC"/>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11E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26FA"/>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Outline3L1">
    <w:name w:val="Outline3_L1"/>
    <w:basedOn w:val="Normal"/>
    <w:rsid w:val="009E39DF"/>
    <w:pPr>
      <w:keepNext/>
      <w:numPr>
        <w:numId w:val="1"/>
      </w:numPr>
      <w:spacing w:after="240"/>
      <w:jc w:val="both"/>
      <w:outlineLvl w:val="0"/>
    </w:pPr>
    <w:rPr>
      <w:b/>
      <w:szCs w:val="20"/>
    </w:rPr>
  </w:style>
  <w:style w:type="paragraph" w:customStyle="1" w:styleId="Outline3L2">
    <w:name w:val="Outline3_L2"/>
    <w:basedOn w:val="Outline3L1"/>
    <w:rsid w:val="009E39DF"/>
    <w:pPr>
      <w:keepNext w:val="0"/>
      <w:numPr>
        <w:ilvl w:val="1"/>
      </w:numPr>
      <w:outlineLvl w:val="1"/>
    </w:pPr>
    <w:rPr>
      <w:b w:val="0"/>
    </w:rPr>
  </w:style>
  <w:style w:type="paragraph" w:customStyle="1" w:styleId="Outline3L3">
    <w:name w:val="Outline3_L3"/>
    <w:basedOn w:val="Outline3L2"/>
    <w:rsid w:val="009E39DF"/>
    <w:pPr>
      <w:numPr>
        <w:ilvl w:val="2"/>
      </w:numPr>
      <w:outlineLvl w:val="2"/>
    </w:pPr>
  </w:style>
  <w:style w:type="paragraph" w:customStyle="1" w:styleId="Outline3L4">
    <w:name w:val="Outline3_L4"/>
    <w:basedOn w:val="Outline3L3"/>
    <w:rsid w:val="009E39DF"/>
    <w:pPr>
      <w:numPr>
        <w:ilvl w:val="3"/>
      </w:numPr>
      <w:outlineLvl w:val="3"/>
    </w:pPr>
  </w:style>
  <w:style w:type="paragraph" w:customStyle="1" w:styleId="Outline3L5">
    <w:name w:val="Outline3_L5"/>
    <w:basedOn w:val="Outline3L4"/>
    <w:rsid w:val="009E39DF"/>
    <w:pPr>
      <w:numPr>
        <w:ilvl w:val="4"/>
      </w:numPr>
      <w:outlineLvl w:val="4"/>
    </w:pPr>
  </w:style>
  <w:style w:type="paragraph" w:customStyle="1" w:styleId="Outline3L6">
    <w:name w:val="Outline3_L6"/>
    <w:basedOn w:val="Outline3L5"/>
    <w:rsid w:val="009E39DF"/>
    <w:pPr>
      <w:numPr>
        <w:ilvl w:val="5"/>
      </w:numPr>
      <w:outlineLvl w:val="5"/>
    </w:pPr>
    <w:rPr>
      <w:b/>
    </w:rPr>
  </w:style>
  <w:style w:type="paragraph" w:customStyle="1" w:styleId="Outline3L7">
    <w:name w:val="Outline3_L7"/>
    <w:basedOn w:val="Outline3L6"/>
    <w:rsid w:val="009E39DF"/>
    <w:pPr>
      <w:numPr>
        <w:ilvl w:val="6"/>
      </w:numPr>
      <w:outlineLvl w:val="6"/>
    </w:pPr>
    <w:rPr>
      <w:b w:val="0"/>
    </w:rPr>
  </w:style>
  <w:style w:type="paragraph" w:customStyle="1" w:styleId="Outline3L8">
    <w:name w:val="Outline3_L8"/>
    <w:basedOn w:val="Outline3L7"/>
    <w:rsid w:val="009E39DF"/>
    <w:pPr>
      <w:numPr>
        <w:ilvl w:val="7"/>
      </w:numPr>
      <w:jc w:val="left"/>
      <w:outlineLvl w:val="7"/>
    </w:pPr>
  </w:style>
  <w:style w:type="paragraph" w:customStyle="1" w:styleId="Outline3L9">
    <w:name w:val="Outline3_L9"/>
    <w:basedOn w:val="Outline3L8"/>
    <w:rsid w:val="009E39DF"/>
    <w:pPr>
      <w:numPr>
        <w:ilvl w:val="8"/>
      </w:numPr>
      <w:outlineLvl w:val="8"/>
    </w:pPr>
  </w:style>
  <w:style w:type="paragraph" w:customStyle="1" w:styleId="MWTitle08">
    <w:name w:val="MWTitle08"/>
    <w:aliases w:val="t8"/>
    <w:basedOn w:val="Normal"/>
    <w:next w:val="Normal"/>
    <w:rsid w:val="009E39DF"/>
    <w:pPr>
      <w:keepNext/>
      <w:spacing w:after="240"/>
      <w:ind w:left="702" w:hanging="702"/>
      <w:jc w:val="both"/>
    </w:pPr>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Outline3L1">
    <w:name w:val="Outline3_L1"/>
    <w:basedOn w:val="Normal"/>
    <w:rsid w:val="009E39DF"/>
    <w:pPr>
      <w:keepNext/>
      <w:numPr>
        <w:numId w:val="1"/>
      </w:numPr>
      <w:spacing w:after="240"/>
      <w:jc w:val="both"/>
      <w:outlineLvl w:val="0"/>
    </w:pPr>
    <w:rPr>
      <w:b/>
      <w:szCs w:val="20"/>
    </w:rPr>
  </w:style>
  <w:style w:type="paragraph" w:customStyle="1" w:styleId="Outline3L2">
    <w:name w:val="Outline3_L2"/>
    <w:basedOn w:val="Outline3L1"/>
    <w:rsid w:val="009E39DF"/>
    <w:pPr>
      <w:keepNext w:val="0"/>
      <w:numPr>
        <w:ilvl w:val="1"/>
      </w:numPr>
      <w:outlineLvl w:val="1"/>
    </w:pPr>
    <w:rPr>
      <w:b w:val="0"/>
    </w:rPr>
  </w:style>
  <w:style w:type="paragraph" w:customStyle="1" w:styleId="Outline3L3">
    <w:name w:val="Outline3_L3"/>
    <w:basedOn w:val="Outline3L2"/>
    <w:rsid w:val="009E39DF"/>
    <w:pPr>
      <w:numPr>
        <w:ilvl w:val="2"/>
      </w:numPr>
      <w:outlineLvl w:val="2"/>
    </w:pPr>
  </w:style>
  <w:style w:type="paragraph" w:customStyle="1" w:styleId="Outline3L4">
    <w:name w:val="Outline3_L4"/>
    <w:basedOn w:val="Outline3L3"/>
    <w:rsid w:val="009E39DF"/>
    <w:pPr>
      <w:numPr>
        <w:ilvl w:val="3"/>
      </w:numPr>
      <w:outlineLvl w:val="3"/>
    </w:pPr>
  </w:style>
  <w:style w:type="paragraph" w:customStyle="1" w:styleId="Outline3L5">
    <w:name w:val="Outline3_L5"/>
    <w:basedOn w:val="Outline3L4"/>
    <w:rsid w:val="009E39DF"/>
    <w:pPr>
      <w:numPr>
        <w:ilvl w:val="4"/>
      </w:numPr>
      <w:outlineLvl w:val="4"/>
    </w:pPr>
  </w:style>
  <w:style w:type="paragraph" w:customStyle="1" w:styleId="Outline3L6">
    <w:name w:val="Outline3_L6"/>
    <w:basedOn w:val="Outline3L5"/>
    <w:rsid w:val="009E39DF"/>
    <w:pPr>
      <w:numPr>
        <w:ilvl w:val="5"/>
      </w:numPr>
      <w:outlineLvl w:val="5"/>
    </w:pPr>
    <w:rPr>
      <w:b/>
    </w:rPr>
  </w:style>
  <w:style w:type="paragraph" w:customStyle="1" w:styleId="Outline3L7">
    <w:name w:val="Outline3_L7"/>
    <w:basedOn w:val="Outline3L6"/>
    <w:rsid w:val="009E39DF"/>
    <w:pPr>
      <w:numPr>
        <w:ilvl w:val="6"/>
      </w:numPr>
      <w:outlineLvl w:val="6"/>
    </w:pPr>
    <w:rPr>
      <w:b w:val="0"/>
    </w:rPr>
  </w:style>
  <w:style w:type="paragraph" w:customStyle="1" w:styleId="Outline3L8">
    <w:name w:val="Outline3_L8"/>
    <w:basedOn w:val="Outline3L7"/>
    <w:rsid w:val="009E39DF"/>
    <w:pPr>
      <w:numPr>
        <w:ilvl w:val="7"/>
      </w:numPr>
      <w:jc w:val="left"/>
      <w:outlineLvl w:val="7"/>
    </w:pPr>
  </w:style>
  <w:style w:type="paragraph" w:customStyle="1" w:styleId="Outline3L9">
    <w:name w:val="Outline3_L9"/>
    <w:basedOn w:val="Outline3L8"/>
    <w:rsid w:val="009E39DF"/>
    <w:pPr>
      <w:numPr>
        <w:ilvl w:val="8"/>
      </w:numPr>
      <w:outlineLvl w:val="8"/>
    </w:pPr>
  </w:style>
  <w:style w:type="paragraph" w:customStyle="1" w:styleId="MWTitle08">
    <w:name w:val="MWTitle08"/>
    <w:aliases w:val="t8"/>
    <w:basedOn w:val="Normal"/>
    <w:next w:val="Normal"/>
    <w:rsid w:val="009E39DF"/>
    <w:pPr>
      <w:keepNext/>
      <w:spacing w:after="240"/>
      <w:ind w:left="702" w:hanging="702"/>
      <w:jc w:val="both"/>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2354786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1758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2012-06-21T23:49:00Z</dcterms:created>
  <dcterms:modified xsi:type="dcterms:W3CDTF">2012-06-21T23:49:00Z</dcterms:modified>
</cp:coreProperties>
</file>