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371A" w14:textId="77777777" w:rsidR="004C2C85" w:rsidRDefault="004C2C85" w:rsidP="004C2C85">
      <w:pPr>
        <w:rPr>
          <w:b/>
        </w:rPr>
      </w:pPr>
    </w:p>
    <w:p w14:paraId="032ABC9C" w14:textId="77777777" w:rsidR="00652734" w:rsidRPr="004C2C85" w:rsidRDefault="00652734" w:rsidP="004C2C85">
      <w:pPr>
        <w:rPr>
          <w:b/>
        </w:rPr>
      </w:pPr>
      <w:r w:rsidRPr="004C2C85">
        <w:rPr>
          <w:b/>
        </w:rPr>
        <w:t>Section</w:t>
      </w:r>
      <w:r w:rsidR="004C2C85">
        <w:rPr>
          <w:b/>
        </w:rPr>
        <w:t xml:space="preserve"> </w:t>
      </w:r>
      <w:proofErr w:type="gramStart"/>
      <w:r w:rsidRPr="004C2C85">
        <w:rPr>
          <w:b/>
        </w:rPr>
        <w:t xml:space="preserve">175.820 </w:t>
      </w:r>
      <w:r w:rsidR="004C2C85">
        <w:rPr>
          <w:b/>
        </w:rPr>
        <w:t xml:space="preserve"> </w:t>
      </w:r>
      <w:r w:rsidR="008D481C">
        <w:rPr>
          <w:b/>
        </w:rPr>
        <w:t>Change</w:t>
      </w:r>
      <w:proofErr w:type="gramEnd"/>
      <w:r w:rsidR="008D481C">
        <w:rPr>
          <w:b/>
        </w:rPr>
        <w:t>-in-</w:t>
      </w:r>
      <w:r w:rsidRPr="004C2C85">
        <w:rPr>
          <w:b/>
        </w:rPr>
        <w:t xml:space="preserve">Service of USTs </w:t>
      </w:r>
    </w:p>
    <w:p w14:paraId="1992702F" w14:textId="77777777" w:rsidR="004C2C85" w:rsidRDefault="004C2C85" w:rsidP="004C2C85">
      <w:bookmarkStart w:id="0" w:name="_Toc166049749"/>
    </w:p>
    <w:p w14:paraId="21E687CE" w14:textId="77777777" w:rsidR="00652734" w:rsidRPr="008D481C" w:rsidRDefault="00652734" w:rsidP="008D481C">
      <w:pPr>
        <w:ind w:left="1440" w:hanging="720"/>
      </w:pPr>
      <w:r w:rsidRPr="008D481C">
        <w:t>a)</w:t>
      </w:r>
      <w:r w:rsidR="004C2C85" w:rsidRPr="008D481C">
        <w:tab/>
      </w:r>
      <w:r w:rsidRPr="008D481C">
        <w:t>From</w:t>
      </w:r>
      <w:r w:rsidR="008D481C">
        <w:t xml:space="preserve"> a Regulated Substance to a Non-</w:t>
      </w:r>
      <w:r w:rsidRPr="008D481C">
        <w:t>Regulated Substance</w:t>
      </w:r>
      <w:r w:rsidR="008D481C" w:rsidRPr="008D481C">
        <w:t xml:space="preserve">. </w:t>
      </w:r>
      <w:bookmarkEnd w:id="0"/>
      <w:r w:rsidRPr="008D481C">
        <w:t xml:space="preserve">Continued use of a </w:t>
      </w:r>
      <w:r w:rsidR="008D481C">
        <w:t>UST to store a non-</w:t>
      </w:r>
      <w:r w:rsidRPr="008D481C">
        <w:t>regulated substance (so that it is no longer classified a</w:t>
      </w:r>
      <w:r w:rsidR="008D481C">
        <w:t>s a UST) is considered a change-in-</w:t>
      </w:r>
      <w:r w:rsidRPr="008D481C">
        <w:t>service. Before a c</w:t>
      </w:r>
      <w:r w:rsidR="008D481C">
        <w:t>hange-in-</w:t>
      </w:r>
      <w:r w:rsidRPr="008D481C">
        <w:t xml:space="preserve">service, owners or operators shall empty and clean the tank by removing all liquid and accumulated sludge and conduct a site assessment. The minimum requirements for the site assessment will be the procedures and requirements of 41 </w:t>
      </w:r>
      <w:smartTag w:uri="urn:schemas-microsoft-com:office:smarttags" w:element="place">
        <w:smartTag w:uri="urn:schemas-microsoft-com:office:smarttags" w:element="State">
          <w:r w:rsidRPr="008D481C">
            <w:t>Ill.</w:t>
          </w:r>
        </w:smartTag>
      </w:smartTag>
      <w:r w:rsidRPr="008D481C">
        <w:t xml:space="preserve"> Adm. Code 176.3</w:t>
      </w:r>
      <w:r w:rsidR="00140358">
        <w:t>3</w:t>
      </w:r>
      <w:r w:rsidRPr="008D481C">
        <w:t xml:space="preserve">0. </w:t>
      </w:r>
      <w:r w:rsidR="008D481C">
        <w:t>However, a change-in-</w:t>
      </w:r>
      <w:r w:rsidRPr="008D481C">
        <w:t xml:space="preserve">service may only occur during the first </w:t>
      </w:r>
      <w:r w:rsidR="00D455E4">
        <w:t>2</w:t>
      </w:r>
      <w:r w:rsidRPr="008D481C">
        <w:t xml:space="preserve"> years, commencing with the date of installation of the tank. A tank system classified as a </w:t>
      </w:r>
      <w:r w:rsidR="008D481C">
        <w:t>UST may not be re-classified as being a non-</w:t>
      </w:r>
      <w:r w:rsidRPr="008D481C">
        <w:t>UST unless there</w:t>
      </w:r>
      <w:r w:rsidR="008D481C">
        <w:t xml:space="preserve"> has been a change-in-</w:t>
      </w:r>
      <w:r w:rsidRPr="008D481C">
        <w:t xml:space="preserve">service as provided in this Section. </w:t>
      </w:r>
    </w:p>
    <w:p w14:paraId="23F4B451" w14:textId="77777777" w:rsidR="00652734" w:rsidRPr="00652734" w:rsidRDefault="00652734" w:rsidP="004C2C85">
      <w:bookmarkStart w:id="1" w:name="_Toc166049750"/>
    </w:p>
    <w:p w14:paraId="7DB65007" w14:textId="77777777" w:rsidR="00652734" w:rsidRPr="008D481C" w:rsidRDefault="00652734" w:rsidP="008D481C">
      <w:pPr>
        <w:ind w:left="1440" w:hanging="720"/>
      </w:pPr>
      <w:r w:rsidRPr="008D481C">
        <w:t>b)</w:t>
      </w:r>
      <w:r w:rsidR="004C2C85" w:rsidRPr="008D481C">
        <w:tab/>
      </w:r>
      <w:r w:rsidRPr="008D481C">
        <w:t>From a Regulated Substance to a Regulated Substance</w:t>
      </w:r>
      <w:r w:rsidR="008D481C" w:rsidRPr="008D481C">
        <w:t xml:space="preserve">. </w:t>
      </w:r>
      <w:bookmarkEnd w:id="1"/>
      <w:r w:rsidR="008D481C">
        <w:t>A change-in-</w:t>
      </w:r>
      <w:r w:rsidRPr="008D481C">
        <w:t xml:space="preserve">service also consists of a conversion of a petroleum </w:t>
      </w:r>
      <w:smartTag w:uri="urn:schemas-microsoft-com:office:smarttags" w:element="stockticker">
        <w:r w:rsidRPr="008D481C">
          <w:t>UST</w:t>
        </w:r>
      </w:smartTag>
      <w:r w:rsidRPr="008D481C">
        <w:t xml:space="preserve"> to a non-compatible petroleum </w:t>
      </w:r>
      <w:smartTag w:uri="urn:schemas-microsoft-com:office:smarttags" w:element="stockticker">
        <w:r w:rsidRPr="008D481C">
          <w:t>UST</w:t>
        </w:r>
      </w:smartTag>
      <w:r w:rsidRPr="008D481C">
        <w:t xml:space="preserve"> or a hazardous substance </w:t>
      </w:r>
      <w:smartTag w:uri="urn:schemas-microsoft-com:office:smarttags" w:element="stockticker">
        <w:r w:rsidRPr="008D481C">
          <w:t>UST</w:t>
        </w:r>
      </w:smartTag>
      <w:r w:rsidRPr="008D481C">
        <w:t xml:space="preserve"> to a non-compatible hazardous substance </w:t>
      </w:r>
      <w:smartTag w:uri="urn:schemas-microsoft-com:office:smarttags" w:element="stockticker">
        <w:r w:rsidRPr="008D481C">
          <w:t>UST</w:t>
        </w:r>
      </w:smartTag>
      <w:r w:rsidRPr="008D481C">
        <w:t xml:space="preserve"> or a petroleum </w:t>
      </w:r>
      <w:smartTag w:uri="urn:schemas-microsoft-com:office:smarttags" w:element="stockticker">
        <w:r w:rsidRPr="008D481C">
          <w:t>UST</w:t>
        </w:r>
      </w:smartTag>
      <w:r w:rsidRPr="008D481C">
        <w:t xml:space="preserve"> to a hazardous substance </w:t>
      </w:r>
      <w:smartTag w:uri="urn:schemas-microsoft-com:office:smarttags" w:element="stockticker">
        <w:r w:rsidRPr="008D481C">
          <w:t>UST</w:t>
        </w:r>
      </w:smartTag>
      <w:r w:rsidRPr="008D481C">
        <w:t xml:space="preserve"> and vice versa. Before a change</w:t>
      </w:r>
      <w:r w:rsidRPr="008D481C">
        <w:noBreakHyphen/>
        <w:t>in</w:t>
      </w:r>
      <w:r w:rsidRPr="008D481C">
        <w:noBreakHyphen/>
        <w:t>service, owners or operators shall empty and clean the tank by removing all liquid and accumulated sludge in accordance with the requirements of Sections 175.500(a) and (c) and 175.830(a)</w:t>
      </w:r>
      <w:r w:rsidR="008D481C">
        <w:t>,</w:t>
      </w:r>
      <w:r w:rsidRPr="008D481C">
        <w:t xml:space="preserve"> including </w:t>
      </w:r>
      <w:smartTag w:uri="urn:schemas-microsoft-com:office:smarttags" w:element="stockticker">
        <w:r w:rsidRPr="008D481C">
          <w:t>API</w:t>
        </w:r>
      </w:smartTag>
      <w:r w:rsidRPr="008D481C">
        <w:t xml:space="preserve"> 2015, incorporated by reference in 41 Il</w:t>
      </w:r>
      <w:r w:rsidR="008D481C">
        <w:t xml:space="preserve">l. Adm. Code 174.210. The owner or </w:t>
      </w:r>
      <w:r w:rsidRPr="008D481C">
        <w:t xml:space="preserve">operator shall verify that the </w:t>
      </w:r>
      <w:smartTag w:uri="urn:schemas-microsoft-com:office:smarttags" w:element="stockticker">
        <w:r w:rsidRPr="008D481C">
          <w:t>UST</w:t>
        </w:r>
      </w:smartTag>
      <w:r w:rsidRPr="008D481C">
        <w:t xml:space="preserve"> meets the requirements of a hazardous material system if being changed over to a hazardous material substance, including requirements for secondary containment with interstitial monitoring after </w:t>
      </w:r>
      <w:smartTag w:uri="urn:schemas-microsoft-com:office:smarttags" w:element="date">
        <w:smartTagPr>
          <w:attr w:name="ls" w:val="trans"/>
          <w:attr w:name="Month" w:val="12"/>
          <w:attr w:name="Day" w:val="22"/>
          <w:attr w:name="Year" w:val="1998"/>
        </w:smartTagPr>
        <w:r w:rsidRPr="008D481C">
          <w:t>December 22, 1998</w:t>
        </w:r>
      </w:smartTag>
      <w:r w:rsidRPr="008D481C">
        <w:t xml:space="preserve">. </w:t>
      </w:r>
      <w:r w:rsidR="000146D4">
        <w:t xml:space="preserve"> (</w:t>
      </w:r>
      <w:r w:rsidRPr="008D481C">
        <w:t xml:space="preserve">See Section 175.415 regarding when an existing </w:t>
      </w:r>
      <w:smartTag w:uri="urn:schemas-microsoft-com:office:smarttags" w:element="stockticker">
        <w:r w:rsidRPr="008D481C">
          <w:t>UST</w:t>
        </w:r>
      </w:smartTag>
      <w:r w:rsidRPr="008D481C">
        <w:t xml:space="preserve"> is converted to a blended or alternative fuel.</w:t>
      </w:r>
      <w:r w:rsidR="000146D4">
        <w:t>)</w:t>
      </w:r>
    </w:p>
    <w:p w14:paraId="56291D1E" w14:textId="77777777" w:rsidR="00652734" w:rsidRPr="008D481C" w:rsidRDefault="00652734" w:rsidP="008D481C">
      <w:bookmarkStart w:id="2" w:name="_Toc166049751"/>
    </w:p>
    <w:p w14:paraId="024EFC6B" w14:textId="7E254FBC" w:rsidR="00652734" w:rsidRPr="008D481C" w:rsidRDefault="00652734" w:rsidP="008D481C">
      <w:pPr>
        <w:ind w:left="1440" w:hanging="720"/>
      </w:pPr>
      <w:r w:rsidRPr="008D481C">
        <w:t>c)</w:t>
      </w:r>
      <w:r w:rsidR="004C2C85" w:rsidRPr="008D481C">
        <w:tab/>
      </w:r>
      <w:r w:rsidR="008D481C" w:rsidRPr="008D481C">
        <w:t>From a Non-</w:t>
      </w:r>
      <w:r w:rsidRPr="008D481C">
        <w:t>Regulated Substance to a Regulated Substance</w:t>
      </w:r>
      <w:bookmarkEnd w:id="2"/>
      <w:r w:rsidR="008D481C" w:rsidRPr="008D481C">
        <w:t xml:space="preserve">. </w:t>
      </w:r>
      <w:r w:rsidR="008D481C">
        <w:t>A non-</w:t>
      </w:r>
      <w:r w:rsidRPr="008D481C">
        <w:t xml:space="preserve">UST, which is </w:t>
      </w:r>
      <w:r w:rsidR="008D481C">
        <w:t>used to store a non-</w:t>
      </w:r>
      <w:r w:rsidRPr="008D481C">
        <w:t xml:space="preserve">regulated substance, may not be converted to a UST unless the tank has been </w:t>
      </w:r>
      <w:r w:rsidR="008D481C">
        <w:t>re-</w:t>
      </w:r>
      <w:r w:rsidRPr="008D481C">
        <w:t xml:space="preserve">certified and is in compliance with all applicable upgrade requirements for newly installed USTs. </w:t>
      </w:r>
      <w:bookmarkStart w:id="3" w:name="_Toc166049752"/>
      <w:r w:rsidRPr="008D481C">
        <w:t xml:space="preserve">A </w:t>
      </w:r>
      <w:r w:rsidR="00AE616E">
        <w:rPr>
          <w:color w:val="000000"/>
        </w:rPr>
        <w:t>used</w:t>
      </w:r>
      <w:r w:rsidRPr="008D481C">
        <w:t xml:space="preserve"> oil tank that is supplying fuel to a </w:t>
      </w:r>
      <w:r w:rsidR="00AE616E">
        <w:rPr>
          <w:color w:val="000000"/>
        </w:rPr>
        <w:t>used</w:t>
      </w:r>
      <w:r w:rsidRPr="008D481C">
        <w:t xml:space="preserve"> oil furnace and is taken out of service shall be no longer classified as a heating oil tank. If the tank does not meet all upgrade requirements for release detection, spill, overfill and corrosion protection, the tank shall be removed.</w:t>
      </w:r>
      <w:bookmarkEnd w:id="3"/>
    </w:p>
    <w:p w14:paraId="2B36334B" w14:textId="77777777" w:rsidR="00652734" w:rsidRPr="00652734" w:rsidRDefault="00652734" w:rsidP="004C2C85">
      <w:bookmarkStart w:id="4" w:name="_Toc166049753"/>
    </w:p>
    <w:p w14:paraId="595A9458" w14:textId="00DB9740" w:rsidR="00652734" w:rsidRDefault="00652734" w:rsidP="008D481C">
      <w:pPr>
        <w:ind w:left="1440" w:hanging="720"/>
      </w:pPr>
      <w:r w:rsidRPr="008D481C">
        <w:t>d)</w:t>
      </w:r>
      <w:r w:rsidR="004C2C85" w:rsidRPr="008D481C">
        <w:tab/>
      </w:r>
      <w:r w:rsidR="00140358">
        <w:t>For all activity related to a change-in-service</w:t>
      </w:r>
      <w:r w:rsidRPr="008D481C">
        <w:t>, the equipment must be compatible with the product being stored and notification of change-in-se</w:t>
      </w:r>
      <w:r w:rsidR="00CB702F">
        <w:t xml:space="preserve">rvice must be </w:t>
      </w:r>
      <w:r w:rsidR="009E17A9">
        <w:t>submitted</w:t>
      </w:r>
      <w:r w:rsidR="00CB702F">
        <w:t xml:space="preserve"> on </w:t>
      </w:r>
      <w:r w:rsidR="009E17A9">
        <w:t xml:space="preserve">the Notification for Underground Storage Tanks form (available at </w:t>
      </w:r>
      <w:r w:rsidR="00BF3937">
        <w:t>http://sfm.illinois.gov/about/divisions/petroleum-chemical-safety/applications-and-forms.html)</w:t>
      </w:r>
      <w:r w:rsidR="00151951">
        <w:t xml:space="preserve"> to</w:t>
      </w:r>
      <w:r w:rsidRPr="008D481C">
        <w:t xml:space="preserve"> </w:t>
      </w:r>
      <w:proofErr w:type="spellStart"/>
      <w:r w:rsidRPr="008D481C">
        <w:t>OSFM</w:t>
      </w:r>
      <w:proofErr w:type="spellEnd"/>
      <w:r w:rsidRPr="008D481C">
        <w:t xml:space="preserve"> not less than 30 days prior to the </w:t>
      </w:r>
      <w:r w:rsidR="008D481C">
        <w:t>c</w:t>
      </w:r>
      <w:r w:rsidRPr="008D481C">
        <w:t>hange-in-</w:t>
      </w:r>
      <w:r w:rsidR="008D481C">
        <w:t>s</w:t>
      </w:r>
      <w:r w:rsidRPr="008D481C">
        <w:t>ervice.</w:t>
      </w:r>
      <w:bookmarkEnd w:id="4"/>
    </w:p>
    <w:p w14:paraId="02F9EB7C" w14:textId="77777777" w:rsidR="009E17A9" w:rsidRDefault="009E17A9" w:rsidP="0031734B"/>
    <w:p w14:paraId="48CB9CA8" w14:textId="6EA2E21A" w:rsidR="009E17A9" w:rsidRPr="008D481C" w:rsidRDefault="00AE616E" w:rsidP="008D481C">
      <w:pPr>
        <w:ind w:left="1440" w:hanging="720"/>
      </w:pPr>
      <w:r>
        <w:t>(Source:  Amended at 4</w:t>
      </w:r>
      <w:r w:rsidR="00AC6ED0">
        <w:t>7</w:t>
      </w:r>
      <w:r>
        <w:t xml:space="preserve"> Ill. Reg. </w:t>
      </w:r>
      <w:r w:rsidR="008D64C3">
        <w:t>6837</w:t>
      </w:r>
      <w:r>
        <w:t xml:space="preserve">, effective </w:t>
      </w:r>
      <w:r w:rsidR="008D64C3">
        <w:t>May 2, 2023</w:t>
      </w:r>
      <w:r>
        <w:t>)</w:t>
      </w:r>
    </w:p>
    <w:sectPr w:rsidR="009E17A9" w:rsidRPr="008D48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7C9E" w14:textId="77777777" w:rsidR="00C40E91" w:rsidRDefault="00C40E91">
      <w:r>
        <w:separator/>
      </w:r>
    </w:p>
  </w:endnote>
  <w:endnote w:type="continuationSeparator" w:id="0">
    <w:p w14:paraId="39B1303B" w14:textId="77777777" w:rsidR="00C40E91" w:rsidRDefault="00C4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C41B" w14:textId="77777777" w:rsidR="00C40E91" w:rsidRDefault="00C40E91">
      <w:r>
        <w:separator/>
      </w:r>
    </w:p>
  </w:footnote>
  <w:footnote w:type="continuationSeparator" w:id="0">
    <w:p w14:paraId="5DB33C1D" w14:textId="77777777" w:rsidR="00C40E91" w:rsidRDefault="00C4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734"/>
    <w:rsid w:val="00001F1D"/>
    <w:rsid w:val="00003CEF"/>
    <w:rsid w:val="00011A7D"/>
    <w:rsid w:val="000122C7"/>
    <w:rsid w:val="00014324"/>
    <w:rsid w:val="000146D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358"/>
    <w:rsid w:val="0014104E"/>
    <w:rsid w:val="001433F3"/>
    <w:rsid w:val="0014368B"/>
    <w:rsid w:val="00145C78"/>
    <w:rsid w:val="00146F30"/>
    <w:rsid w:val="00146FFB"/>
    <w:rsid w:val="0015097E"/>
    <w:rsid w:val="00151951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734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396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C8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73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E86"/>
    <w:rsid w:val="00750400"/>
    <w:rsid w:val="00763B6D"/>
    <w:rsid w:val="00765D64"/>
    <w:rsid w:val="00767C7B"/>
    <w:rsid w:val="00776B13"/>
    <w:rsid w:val="00776D1C"/>
    <w:rsid w:val="00777A7A"/>
    <w:rsid w:val="00780733"/>
    <w:rsid w:val="00780B43"/>
    <w:rsid w:val="00790388"/>
    <w:rsid w:val="00791D7E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25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81C"/>
    <w:rsid w:val="008D64C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8A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7A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ED0"/>
    <w:rsid w:val="00AC6F0C"/>
    <w:rsid w:val="00AC7225"/>
    <w:rsid w:val="00AD10F9"/>
    <w:rsid w:val="00AD2A5F"/>
    <w:rsid w:val="00AE031A"/>
    <w:rsid w:val="00AE5547"/>
    <w:rsid w:val="00AE616E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937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E91"/>
    <w:rsid w:val="00C42A93"/>
    <w:rsid w:val="00C43DDF"/>
    <w:rsid w:val="00C4537A"/>
    <w:rsid w:val="00C45BEB"/>
    <w:rsid w:val="00C50195"/>
    <w:rsid w:val="00C531E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02F"/>
    <w:rsid w:val="00CC13F9"/>
    <w:rsid w:val="00CC4FF8"/>
    <w:rsid w:val="00CD3723"/>
    <w:rsid w:val="00CD5413"/>
    <w:rsid w:val="00CE01BF"/>
    <w:rsid w:val="00CE4292"/>
    <w:rsid w:val="00CF3DC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112"/>
    <w:rsid w:val="00D455E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FE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42DC83"/>
  <w15:docId w15:val="{2C46B9C4-07A8-4F72-8756-6313774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652734"/>
    <w:pPr>
      <w:spacing w:after="240"/>
      <w:ind w:left="720"/>
      <w:jc w:val="both"/>
    </w:pPr>
  </w:style>
  <w:style w:type="paragraph" w:customStyle="1" w:styleId="Outline3L1">
    <w:name w:val="Outline3_L1"/>
    <w:basedOn w:val="Normal"/>
    <w:rsid w:val="00652734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652734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652734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652734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652734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652734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652734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652734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652734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652734"/>
    <w:pPr>
      <w:keepNext/>
      <w:spacing w:after="240"/>
      <w:ind w:left="702" w:hanging="702"/>
      <w:jc w:val="both"/>
    </w:pPr>
    <w:rPr>
      <w:b/>
    </w:rPr>
  </w:style>
  <w:style w:type="paragraph" w:customStyle="1" w:styleId="Outline3Cont2">
    <w:name w:val="Outline3 Cont 2"/>
    <w:basedOn w:val="Normal"/>
    <w:rsid w:val="00652734"/>
    <w:pPr>
      <w:spacing w:after="240"/>
      <w:ind w:left="2160"/>
      <w:jc w:val="both"/>
    </w:pPr>
    <w:rPr>
      <w:szCs w:val="20"/>
    </w:rPr>
  </w:style>
  <w:style w:type="character" w:styleId="Hyperlink">
    <w:name w:val="Hyperlink"/>
    <w:basedOn w:val="DefaultParagraphFont"/>
    <w:rsid w:val="00151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2023-04-27T17:29:00Z</dcterms:created>
  <dcterms:modified xsi:type="dcterms:W3CDTF">2023-05-19T00:22:00Z</dcterms:modified>
</cp:coreProperties>
</file>