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BB6D" w14:textId="77777777" w:rsidR="00893913" w:rsidRDefault="00893913" w:rsidP="00893913">
      <w:pPr>
        <w:rPr>
          <w:b/>
        </w:rPr>
      </w:pPr>
    </w:p>
    <w:p w14:paraId="1E7E4EC5" w14:textId="77777777" w:rsidR="006000BF" w:rsidRPr="00893913" w:rsidRDefault="006000BF" w:rsidP="00893913">
      <w:pPr>
        <w:rPr>
          <w:b/>
        </w:rPr>
      </w:pPr>
      <w:r w:rsidRPr="00893913">
        <w:rPr>
          <w:b/>
        </w:rPr>
        <w:t>Section</w:t>
      </w:r>
      <w:r w:rsidR="00893913">
        <w:rPr>
          <w:b/>
        </w:rPr>
        <w:t xml:space="preserve"> </w:t>
      </w:r>
      <w:proofErr w:type="gramStart"/>
      <w:r w:rsidRPr="00893913">
        <w:rPr>
          <w:b/>
        </w:rPr>
        <w:t xml:space="preserve">175.415 </w:t>
      </w:r>
      <w:r w:rsidR="00893913">
        <w:rPr>
          <w:b/>
        </w:rPr>
        <w:t xml:space="preserve"> </w:t>
      </w:r>
      <w:r w:rsidRPr="00893913">
        <w:rPr>
          <w:b/>
        </w:rPr>
        <w:t>UST</w:t>
      </w:r>
      <w:proofErr w:type="gramEnd"/>
      <w:r w:rsidRPr="00893913">
        <w:rPr>
          <w:b/>
        </w:rPr>
        <w:t xml:space="preserve"> Compatibility with Product Stored </w:t>
      </w:r>
    </w:p>
    <w:p w14:paraId="6EA08CF1" w14:textId="77777777" w:rsidR="00893913" w:rsidRDefault="00893913" w:rsidP="00893913"/>
    <w:p w14:paraId="204BEE4B" w14:textId="77777777" w:rsidR="006000BF" w:rsidRPr="006000BF" w:rsidRDefault="006000BF" w:rsidP="00893913">
      <w:pPr>
        <w:ind w:left="1440" w:hanging="720"/>
      </w:pPr>
      <w:r w:rsidRPr="006000BF">
        <w:t>a)</w:t>
      </w:r>
      <w:r w:rsidRPr="006000BF">
        <w:tab/>
        <w:t xml:space="preserve">Owners and operators shall use a UST </w:t>
      </w:r>
      <w:r w:rsidR="00DE0EA3">
        <w:t xml:space="preserve">made of or lined with materials that are </w:t>
      </w:r>
      <w:r w:rsidRPr="006000BF">
        <w:t xml:space="preserve">compatible with the </w:t>
      </w:r>
      <w:r w:rsidR="00DE0EA3">
        <w:t>substance</w:t>
      </w:r>
      <w:r w:rsidRPr="006000BF">
        <w:t xml:space="preserve"> stored in the UST. </w:t>
      </w:r>
    </w:p>
    <w:p w14:paraId="1C0166B9" w14:textId="77777777" w:rsidR="006000BF" w:rsidRDefault="006000BF" w:rsidP="00DE0EA3"/>
    <w:p w14:paraId="7CCE98E0" w14:textId="0BD13629" w:rsidR="002B05BA" w:rsidRDefault="002B05BA" w:rsidP="002B05BA">
      <w:pPr>
        <w:ind w:left="1440" w:hanging="720"/>
      </w:pPr>
      <w:r>
        <w:rPr>
          <w:rFonts w:eastAsia="Calibri"/>
          <w:szCs w:val="20"/>
        </w:rPr>
        <w:t>b)</w:t>
      </w:r>
      <w:r>
        <w:rPr>
          <w:rFonts w:eastAsia="Calibri"/>
          <w:szCs w:val="20"/>
        </w:rPr>
        <w:tab/>
      </w:r>
      <w:r w:rsidRPr="00106700">
        <w:rPr>
          <w:rFonts w:eastAsia="Calibri"/>
          <w:szCs w:val="20"/>
        </w:rPr>
        <w:t xml:space="preserve">Owners and operators must notify </w:t>
      </w:r>
      <w:proofErr w:type="spellStart"/>
      <w:r w:rsidRPr="002B05BA">
        <w:rPr>
          <w:rFonts w:eastAsia="Calibri"/>
          <w:szCs w:val="20"/>
        </w:rPr>
        <w:t>OSFM</w:t>
      </w:r>
      <w:proofErr w:type="spellEnd"/>
      <w:r w:rsidRPr="002B05BA">
        <w:rPr>
          <w:rFonts w:eastAsia="Calibri"/>
          <w:szCs w:val="20"/>
        </w:rPr>
        <w:t xml:space="preserve"> </w:t>
      </w:r>
      <w:r w:rsidRPr="00106700">
        <w:rPr>
          <w:rFonts w:eastAsia="Calibri"/>
          <w:szCs w:val="20"/>
        </w:rPr>
        <w:t>at least 30 days prior to switching to a regulated substance containing greater than 10</w:t>
      </w:r>
      <w:r w:rsidR="00E96B49">
        <w:rPr>
          <w:rFonts w:eastAsia="Calibri"/>
          <w:szCs w:val="20"/>
        </w:rPr>
        <w:t>%</w:t>
      </w:r>
      <w:r w:rsidRPr="00106700">
        <w:rPr>
          <w:rFonts w:eastAsia="Calibri"/>
          <w:szCs w:val="20"/>
        </w:rPr>
        <w:t xml:space="preserve"> ethanol, greater than 20</w:t>
      </w:r>
      <w:r w:rsidR="00E96B49">
        <w:rPr>
          <w:rFonts w:eastAsia="Calibri"/>
          <w:szCs w:val="20"/>
        </w:rPr>
        <w:t>%</w:t>
      </w:r>
      <w:r w:rsidRPr="00106700">
        <w:rPr>
          <w:rFonts w:eastAsia="Calibri"/>
          <w:szCs w:val="20"/>
        </w:rPr>
        <w:t xml:space="preserve"> biodiesel, or any other regulated substance identified by </w:t>
      </w:r>
      <w:proofErr w:type="spellStart"/>
      <w:r w:rsidRPr="002B05BA">
        <w:rPr>
          <w:rFonts w:eastAsia="Calibri"/>
          <w:szCs w:val="20"/>
        </w:rPr>
        <w:t>OSFM</w:t>
      </w:r>
      <w:proofErr w:type="spellEnd"/>
      <w:r w:rsidRPr="002B05BA">
        <w:rPr>
          <w:rFonts w:eastAsia="Calibri"/>
          <w:szCs w:val="20"/>
        </w:rPr>
        <w:t xml:space="preserve">, using </w:t>
      </w:r>
      <w:r w:rsidR="001F52AC" w:rsidRPr="00082118">
        <w:rPr>
          <w:color w:val="000000"/>
        </w:rPr>
        <w:t>an electronic</w:t>
      </w:r>
      <w:r w:rsidRPr="002B05BA">
        <w:t xml:space="preserve"> Notification for Underground Storage Tanks form (available at</w:t>
      </w:r>
      <w:r w:rsidR="00333320">
        <w:t>https://sfm.illinois.gov/about/divisions/petroleum-chemical-safety/applications-and-forms.html</w:t>
      </w:r>
      <w:r w:rsidRPr="002B05BA">
        <w:t>)</w:t>
      </w:r>
      <w:r w:rsidRPr="002B05BA">
        <w:rPr>
          <w:rFonts w:eastAsia="Calibri"/>
        </w:rPr>
        <w:t xml:space="preserve">.  </w:t>
      </w:r>
      <w:r w:rsidRPr="00106700">
        <w:rPr>
          <w:rFonts w:eastAsia="Calibri"/>
        </w:rPr>
        <w:t>In addition, owners and operators with UST systems storing these regulated substances must meet one of</w:t>
      </w:r>
      <w:r w:rsidRPr="00106700">
        <w:rPr>
          <w:rFonts w:eastAsia="Calibri"/>
          <w:szCs w:val="20"/>
        </w:rPr>
        <w:t xml:space="preserve"> the following:</w:t>
      </w:r>
    </w:p>
    <w:p w14:paraId="1CCBC921" w14:textId="77777777" w:rsidR="002B05BA" w:rsidRDefault="002B05BA" w:rsidP="00DE0EA3"/>
    <w:p w14:paraId="50EFC54A" w14:textId="0DFCDCFB" w:rsidR="00DE0EA3" w:rsidRPr="002B05BA" w:rsidRDefault="002B05BA" w:rsidP="002B05BA">
      <w:pPr>
        <w:ind w:left="2160" w:hanging="720"/>
        <w:rPr>
          <w:rFonts w:eastAsia="Calibri"/>
          <w:szCs w:val="20"/>
        </w:rPr>
      </w:pPr>
      <w:r>
        <w:rPr>
          <w:rFonts w:eastAsia="Calibri"/>
          <w:szCs w:val="20"/>
        </w:rPr>
        <w:t>1)</w:t>
      </w:r>
      <w:r>
        <w:rPr>
          <w:rFonts w:eastAsia="Calibri"/>
          <w:szCs w:val="20"/>
        </w:rPr>
        <w:tab/>
      </w:r>
      <w:r w:rsidRPr="00106700">
        <w:rPr>
          <w:rFonts w:eastAsia="Calibri"/>
          <w:szCs w:val="20"/>
        </w:rPr>
        <w:t xml:space="preserve">Demonstrate compatibility of the UST system </w:t>
      </w:r>
      <w:r w:rsidR="001F52AC" w:rsidRPr="00082118">
        <w:rPr>
          <w:color w:val="000000"/>
        </w:rPr>
        <w:t xml:space="preserve">by completing an on-line Blended Fuel Compatibility form at the website listed </w:t>
      </w:r>
      <w:r w:rsidR="007F32D1">
        <w:rPr>
          <w:color w:val="000000"/>
        </w:rPr>
        <w:t>in subsection (b)</w:t>
      </w:r>
      <w:r w:rsidR="00077463">
        <w:rPr>
          <w:color w:val="000000"/>
        </w:rPr>
        <w:t xml:space="preserve"> </w:t>
      </w:r>
      <w:r w:rsidRPr="00106700">
        <w:rPr>
          <w:rFonts w:eastAsia="Calibri"/>
          <w:szCs w:val="20"/>
        </w:rPr>
        <w:t>(</w:t>
      </w:r>
      <w:r w:rsidR="001F52AC" w:rsidRPr="00082118">
        <w:rPr>
          <w:color w:val="000000"/>
        </w:rPr>
        <w:t>to include</w:t>
      </w:r>
      <w:r w:rsidRPr="00106700">
        <w:rPr>
          <w:rFonts w:eastAsia="Calibri"/>
          <w:szCs w:val="20"/>
        </w:rPr>
        <w:t xml:space="preserve"> the tank</w:t>
      </w:r>
      <w:r w:rsidRPr="002B05BA">
        <w:rPr>
          <w:rFonts w:eastAsia="Calibri"/>
          <w:szCs w:val="20"/>
        </w:rPr>
        <w:t xml:space="preserve"> and any internal lining materials</w:t>
      </w:r>
      <w:r w:rsidRPr="00106700">
        <w:rPr>
          <w:rFonts w:eastAsia="Calibri"/>
          <w:szCs w:val="20"/>
        </w:rPr>
        <w:t>, piping, containment sumps, pumping equipment</w:t>
      </w:r>
      <w:r w:rsidRPr="002B05BA">
        <w:rPr>
          <w:rFonts w:eastAsia="Calibri"/>
          <w:szCs w:val="20"/>
        </w:rPr>
        <w:t xml:space="preserve"> (including submersible, suction and dispenser pumps, as well as attached hoses and nozzles)</w:t>
      </w:r>
      <w:r w:rsidRPr="00106700">
        <w:rPr>
          <w:rFonts w:eastAsia="Calibri"/>
          <w:szCs w:val="20"/>
        </w:rPr>
        <w:t>, release detection equipment, spill equipment, and overfill equipment</w:t>
      </w:r>
      <w:r w:rsidRPr="002B05BA">
        <w:rPr>
          <w:rFonts w:eastAsia="Calibri"/>
          <w:szCs w:val="20"/>
        </w:rPr>
        <w:t xml:space="preserve"> and</w:t>
      </w:r>
      <w:r w:rsidR="00FA0953">
        <w:rPr>
          <w:rFonts w:eastAsia="Calibri"/>
          <w:szCs w:val="20"/>
        </w:rPr>
        <w:t>,</w:t>
      </w:r>
      <w:r w:rsidRPr="002B05BA">
        <w:rPr>
          <w:rFonts w:eastAsia="Calibri"/>
          <w:szCs w:val="20"/>
        </w:rPr>
        <w:t xml:space="preserve"> for USTs installed after October 13, 2018, any associated seals, gaskets and adhesives</w:t>
      </w:r>
      <w:r w:rsidRPr="00106700">
        <w:rPr>
          <w:rFonts w:eastAsia="Calibri"/>
          <w:szCs w:val="20"/>
        </w:rPr>
        <w:t>). Owners and operators may demonstrate compatibility of the UST system by using one of the following options:</w:t>
      </w:r>
    </w:p>
    <w:p w14:paraId="19707A9B" w14:textId="77777777" w:rsidR="00FA0953" w:rsidRDefault="00FA0953" w:rsidP="00FA0953">
      <w:pPr>
        <w:rPr>
          <w:rFonts w:eastAsia="Calibri"/>
          <w:szCs w:val="20"/>
        </w:rPr>
      </w:pPr>
    </w:p>
    <w:p w14:paraId="0B1C542B" w14:textId="77777777" w:rsidR="00BA7C56" w:rsidRDefault="00FA0953" w:rsidP="00FA0953">
      <w:pPr>
        <w:ind w:left="2880" w:hanging="720"/>
        <w:rPr>
          <w:rFonts w:eastAsia="Calibri"/>
          <w:szCs w:val="20"/>
        </w:rPr>
      </w:pPr>
      <w:r>
        <w:rPr>
          <w:rFonts w:eastAsia="Calibri"/>
          <w:szCs w:val="20"/>
        </w:rPr>
        <w:t>A)</w:t>
      </w:r>
      <w:r>
        <w:rPr>
          <w:rFonts w:eastAsia="Calibri"/>
          <w:szCs w:val="20"/>
        </w:rPr>
        <w:tab/>
      </w:r>
      <w:r w:rsidRPr="00106700">
        <w:rPr>
          <w:rFonts w:eastAsia="Calibri"/>
          <w:szCs w:val="20"/>
        </w:rPr>
        <w:t>Certification or listing of UST system equipment or components by a nationally recognized, independent testing laboratory for use with the regulated substance stored; or</w:t>
      </w:r>
    </w:p>
    <w:p w14:paraId="58D5B083" w14:textId="77777777" w:rsidR="00FA0953" w:rsidRDefault="00FA0953" w:rsidP="00167306">
      <w:pPr>
        <w:rPr>
          <w:rFonts w:eastAsia="Calibri"/>
          <w:szCs w:val="20"/>
        </w:rPr>
      </w:pPr>
    </w:p>
    <w:p w14:paraId="18E188F4" w14:textId="77777777" w:rsidR="00FA0953" w:rsidRPr="00DE0EA3" w:rsidRDefault="00FA0953" w:rsidP="00FA0953">
      <w:pPr>
        <w:ind w:left="2880" w:hanging="720"/>
      </w:pPr>
      <w:r>
        <w:rPr>
          <w:rFonts w:eastAsia="Calibri"/>
          <w:szCs w:val="20"/>
        </w:rPr>
        <w:t>B)</w:t>
      </w:r>
      <w:r>
        <w:rPr>
          <w:rFonts w:eastAsia="Calibri"/>
          <w:szCs w:val="20"/>
        </w:rPr>
        <w:tab/>
      </w:r>
      <w:r w:rsidRPr="00106700">
        <w:rPr>
          <w:rFonts w:eastAsia="Calibri"/>
          <w:szCs w:val="20"/>
        </w:rPr>
        <w:t xml:space="preserve">Equipment or component manufacturer approval. The manufacturer's approval must be in writing, indicate an affirmative statement of compatibility, specify the range of biofuel blends </w:t>
      </w:r>
      <w:r>
        <w:rPr>
          <w:rFonts w:eastAsia="Calibri"/>
          <w:szCs w:val="20"/>
        </w:rPr>
        <w:t xml:space="preserve">with which </w:t>
      </w:r>
      <w:r w:rsidRPr="00106700">
        <w:rPr>
          <w:rFonts w:eastAsia="Calibri"/>
          <w:szCs w:val="20"/>
        </w:rPr>
        <w:t>the equipment or component is compatible, and be from the equipment or component manufacturer; or</w:t>
      </w:r>
    </w:p>
    <w:p w14:paraId="1F4FB9AE" w14:textId="77777777" w:rsidR="00FA0953" w:rsidRDefault="00FA0953" w:rsidP="00167306">
      <w:pPr>
        <w:rPr>
          <w:rFonts w:eastAsia="Calibri"/>
        </w:rPr>
      </w:pPr>
    </w:p>
    <w:p w14:paraId="50931529" w14:textId="77777777" w:rsidR="00DE0EA3" w:rsidRPr="00DE0EA3" w:rsidRDefault="00FA0953" w:rsidP="00106700">
      <w:pPr>
        <w:ind w:left="2160" w:hanging="720"/>
      </w:pPr>
      <w:r>
        <w:rPr>
          <w:rFonts w:eastAsia="Calibri"/>
        </w:rPr>
        <w:t>2)</w:t>
      </w:r>
      <w:r>
        <w:rPr>
          <w:rFonts w:eastAsia="Calibri"/>
        </w:rPr>
        <w:tab/>
      </w:r>
      <w:r w:rsidR="00DE0EA3" w:rsidRPr="00106700">
        <w:rPr>
          <w:rFonts w:eastAsia="Calibri"/>
        </w:rPr>
        <w:t xml:space="preserve">Use another option determined by </w:t>
      </w:r>
      <w:proofErr w:type="spellStart"/>
      <w:r w:rsidR="00DE0EA3" w:rsidRPr="00DE0EA3">
        <w:rPr>
          <w:rFonts w:eastAsia="Calibri"/>
        </w:rPr>
        <w:t>OSFM</w:t>
      </w:r>
      <w:proofErr w:type="spellEnd"/>
      <w:r w:rsidR="00DE0EA3" w:rsidRPr="00DE0EA3">
        <w:rPr>
          <w:rFonts w:eastAsia="Calibri"/>
        </w:rPr>
        <w:t xml:space="preserve"> </w:t>
      </w:r>
      <w:r w:rsidR="00DE0EA3" w:rsidRPr="00106700">
        <w:rPr>
          <w:rFonts w:eastAsia="Calibri"/>
        </w:rPr>
        <w:t xml:space="preserve">to be no less protective of human health and the environment than the options listed in </w:t>
      </w:r>
      <w:r w:rsidR="00DE0EA3" w:rsidRPr="00DE0EA3">
        <w:rPr>
          <w:rFonts w:eastAsia="Calibri"/>
        </w:rPr>
        <w:t>subsection</w:t>
      </w:r>
      <w:r w:rsidR="00DE0EA3" w:rsidRPr="00106700">
        <w:rPr>
          <w:rFonts w:eastAsia="Calibri"/>
        </w:rPr>
        <w:t xml:space="preserve"> (b)(1). </w:t>
      </w:r>
      <w:r w:rsidR="00DE0EA3" w:rsidRPr="00DE0EA3">
        <w:t xml:space="preserve">Demonstration of any such method shall be in writing submitted to </w:t>
      </w:r>
      <w:proofErr w:type="spellStart"/>
      <w:r w:rsidR="00DE0EA3" w:rsidRPr="00DE0EA3">
        <w:t>OSFM</w:t>
      </w:r>
      <w:proofErr w:type="spellEnd"/>
      <w:r w:rsidR="00DE0EA3" w:rsidRPr="00DE0EA3">
        <w:t xml:space="preserve">. If the option is approved, the owner or operator shall comply with any conditions imposed by </w:t>
      </w:r>
      <w:proofErr w:type="spellStart"/>
      <w:r w:rsidR="00DE0EA3" w:rsidRPr="00DE0EA3">
        <w:t>OSFM</w:t>
      </w:r>
      <w:proofErr w:type="spellEnd"/>
      <w:r w:rsidR="00DE0EA3" w:rsidRPr="00DE0EA3">
        <w:t xml:space="preserve"> to ensure the protection of human health or the environment. Before the utilization of the option, </w:t>
      </w:r>
      <w:proofErr w:type="spellStart"/>
      <w:r w:rsidR="00DE0EA3" w:rsidRPr="00DE0EA3">
        <w:t>OSFM</w:t>
      </w:r>
      <w:proofErr w:type="spellEnd"/>
      <w:r w:rsidR="00DE0EA3" w:rsidRPr="00DE0EA3">
        <w:t xml:space="preserve"> shall issue written approval.</w:t>
      </w:r>
      <w:r w:rsidR="00DE0EA3" w:rsidRPr="00DE0EA3">
        <w:rPr>
          <w:rFonts w:eastAsia="Calibri"/>
        </w:rPr>
        <w:t xml:space="preserve"> </w:t>
      </w:r>
    </w:p>
    <w:p w14:paraId="359FB4A4" w14:textId="060BBCA0" w:rsidR="00BA7C56" w:rsidRDefault="00BA7C56" w:rsidP="00167306"/>
    <w:p w14:paraId="4AE1BCE3" w14:textId="45A60A03" w:rsidR="00BA7C56" w:rsidRPr="00BA7C56" w:rsidRDefault="002C00D2" w:rsidP="00BA7C56">
      <w:pPr>
        <w:ind w:left="1440" w:hanging="720"/>
      </w:pPr>
      <w:r>
        <w:rPr>
          <w:rFonts w:eastAsia="Calibri"/>
          <w:szCs w:val="20"/>
        </w:rPr>
        <w:t>c</w:t>
      </w:r>
      <w:r w:rsidR="00BA7C56" w:rsidRPr="00BA7C56">
        <w:rPr>
          <w:rFonts w:eastAsia="Calibri"/>
          <w:szCs w:val="20"/>
        </w:rPr>
        <w:t>)</w:t>
      </w:r>
      <w:r w:rsidR="00BA7C56">
        <w:rPr>
          <w:rFonts w:eastAsia="Calibri"/>
          <w:szCs w:val="20"/>
        </w:rPr>
        <w:tab/>
      </w:r>
      <w:r w:rsidR="00BA7C56" w:rsidRPr="00BA7C56">
        <w:rPr>
          <w:rFonts w:eastAsia="Calibri"/>
          <w:szCs w:val="20"/>
        </w:rPr>
        <w:t xml:space="preserve">Owners and operators must maintain records in accordance with 41 Ill. Adm. Code 176.430 documenting compliance with </w:t>
      </w:r>
      <w:r w:rsidR="00FA0953">
        <w:rPr>
          <w:rFonts w:eastAsia="Calibri"/>
          <w:szCs w:val="20"/>
        </w:rPr>
        <w:t>subsection</w:t>
      </w:r>
      <w:r w:rsidR="00BA7C56" w:rsidRPr="00BA7C56">
        <w:rPr>
          <w:rFonts w:eastAsia="Calibri"/>
          <w:szCs w:val="20"/>
        </w:rPr>
        <w:t xml:space="preserve"> (b) for as long as the UST system is used to store the regulated substance. Documentation shall include </w:t>
      </w:r>
      <w:r w:rsidR="00BA7C56" w:rsidRPr="00BA7C56">
        <w:rPr>
          <w:rFonts w:eastAsia="Calibri"/>
          <w:szCs w:val="20"/>
        </w:rPr>
        <w:lastRenderedPageBreak/>
        <w:t xml:space="preserve">a completed </w:t>
      </w:r>
      <w:r w:rsidR="001F52AC">
        <w:rPr>
          <w:color w:val="000000"/>
        </w:rPr>
        <w:t>Blended Fuel</w:t>
      </w:r>
      <w:r w:rsidR="00BA7C56" w:rsidRPr="00BA7C56">
        <w:rPr>
          <w:rFonts w:eastAsia="Calibri"/>
          <w:szCs w:val="20"/>
        </w:rPr>
        <w:t xml:space="preserve"> Compatibility form</w:t>
      </w:r>
      <w:r w:rsidR="009323B4">
        <w:rPr>
          <w:rFonts w:eastAsia="Calibri"/>
          <w:szCs w:val="20"/>
        </w:rPr>
        <w:t>,</w:t>
      </w:r>
      <w:r w:rsidR="00FA0953">
        <w:rPr>
          <w:rFonts w:eastAsia="Calibri"/>
          <w:szCs w:val="20"/>
        </w:rPr>
        <w:t xml:space="preserve"> </w:t>
      </w:r>
      <w:r w:rsidR="00BA7C56" w:rsidRPr="00BA7C56">
        <w:rPr>
          <w:rFonts w:eastAsia="Calibri"/>
          <w:szCs w:val="20"/>
        </w:rPr>
        <w:t xml:space="preserve">available at </w:t>
      </w:r>
      <w:r w:rsidR="00FA0953">
        <w:rPr>
          <w:rFonts w:eastAsia="Calibri"/>
        </w:rPr>
        <w:t>the website cited in subsection (b)</w:t>
      </w:r>
      <w:r w:rsidR="00BA7C56" w:rsidRPr="00BA7C56">
        <w:rPr>
          <w:rFonts w:eastAsia="Calibri"/>
        </w:rPr>
        <w:t>.</w:t>
      </w:r>
    </w:p>
    <w:p w14:paraId="51182AFA" w14:textId="77777777" w:rsidR="006000BF" w:rsidRPr="006000BF" w:rsidRDefault="006000BF" w:rsidP="00167306"/>
    <w:p w14:paraId="2735A2D8" w14:textId="55028B07" w:rsidR="006000BF" w:rsidRPr="006000BF" w:rsidRDefault="002C00D2" w:rsidP="00801EEA">
      <w:pPr>
        <w:ind w:left="1440" w:hanging="720"/>
      </w:pPr>
      <w:r>
        <w:t>d</w:t>
      </w:r>
      <w:r w:rsidR="006000BF" w:rsidRPr="006000BF">
        <w:t>)</w:t>
      </w:r>
      <w:r w:rsidR="006000BF" w:rsidRPr="006000BF">
        <w:tab/>
        <w:t xml:space="preserve">Existing USTs </w:t>
      </w:r>
      <w:r w:rsidR="00A14751">
        <w:t>P</w:t>
      </w:r>
      <w:r w:rsidR="006000BF" w:rsidRPr="006000BF">
        <w:t xml:space="preserve">reviously </w:t>
      </w:r>
      <w:r w:rsidR="00A14751">
        <w:t>C</w:t>
      </w:r>
      <w:r w:rsidR="006000BF" w:rsidRPr="006000BF">
        <w:t xml:space="preserve">onverted to a </w:t>
      </w:r>
      <w:r w:rsidR="00A14751">
        <w:t>B</w:t>
      </w:r>
      <w:r w:rsidR="006000BF" w:rsidRPr="006000BF">
        <w:t xml:space="preserve">lended </w:t>
      </w:r>
      <w:r w:rsidR="00A14751">
        <w:t>F</w:t>
      </w:r>
      <w:r w:rsidR="006000BF" w:rsidRPr="006000BF">
        <w:t xml:space="preserve">uel (as defined in 41 Ill. Adm. Code 174.100). In those </w:t>
      </w:r>
      <w:proofErr w:type="gramStart"/>
      <w:r w:rsidR="006000BF" w:rsidRPr="006000BF">
        <w:t>instances</w:t>
      </w:r>
      <w:proofErr w:type="gramEnd"/>
      <w:r w:rsidR="006000BF" w:rsidRPr="006000BF">
        <w:t xml:space="preserve"> </w:t>
      </w:r>
      <w:r w:rsidR="00066E21">
        <w:t>in which</w:t>
      </w:r>
      <w:r w:rsidR="006000BF" w:rsidRPr="006000BF">
        <w:t xml:space="preserve"> a blended fuel is being stored in an existing tank lined at any time, the lining material must be approved by </w:t>
      </w:r>
      <w:proofErr w:type="spellStart"/>
      <w:r w:rsidR="006000BF" w:rsidRPr="006000BF">
        <w:t>OSFM</w:t>
      </w:r>
      <w:proofErr w:type="spellEnd"/>
      <w:r w:rsidR="006000BF" w:rsidRPr="006000BF">
        <w:t xml:space="preserve"> based on information supplied by the manufacturer or a </w:t>
      </w:r>
      <w:r w:rsidR="00F963DE">
        <w:t>nationally recognized, independent testing laboratory</w:t>
      </w:r>
      <w:r w:rsidR="00066E21">
        <w:t>,</w:t>
      </w:r>
      <w:r w:rsidR="006000BF" w:rsidRPr="006000BF">
        <w:t xml:space="preserve"> in accordance with the criteria identified in Section 175.500</w:t>
      </w:r>
      <w:r w:rsidR="00066E21">
        <w:t>,</w:t>
      </w:r>
      <w:r w:rsidR="006000BF" w:rsidRPr="006000BF">
        <w:t xml:space="preserve"> as compatible with the blended fuel, or the owner/operator must remove the blended fuel from the tank.</w:t>
      </w:r>
      <w:r w:rsidR="005569CA">
        <w:t xml:space="preserve">  Existing field installed linings shall be allowed to remain </w:t>
      </w:r>
      <w:r w:rsidR="00F963DE">
        <w:t>if both the lining and all UST components are compatible with the product stored</w:t>
      </w:r>
      <w:r w:rsidR="00FA0953">
        <w:t>,</w:t>
      </w:r>
      <w:r w:rsidR="00F963DE">
        <w:t xml:space="preserve"> </w:t>
      </w:r>
      <w:r w:rsidR="005569CA">
        <w:t xml:space="preserve">but shall comply with the requirements of Section 175.500, including requirements for 5-year inspections by a </w:t>
      </w:r>
      <w:r w:rsidR="001F52AC" w:rsidRPr="00082118">
        <w:rPr>
          <w:color w:val="000000"/>
        </w:rPr>
        <w:t>licensed</w:t>
      </w:r>
      <w:r w:rsidR="005569CA">
        <w:t xml:space="preserve"> contractor.</w:t>
      </w:r>
      <w:r w:rsidR="00801EEA">
        <w:t xml:space="preserve">  </w:t>
      </w:r>
      <w:r w:rsidR="007F32D1">
        <w:t xml:space="preserve">On or after </w:t>
      </w:r>
      <w:r w:rsidR="001F52AC">
        <w:rPr>
          <w:color w:val="000000"/>
        </w:rPr>
        <w:t>Ma</w:t>
      </w:r>
      <w:r w:rsidR="00077463">
        <w:rPr>
          <w:color w:val="000000"/>
        </w:rPr>
        <w:t>y</w:t>
      </w:r>
      <w:r w:rsidR="001F52AC">
        <w:rPr>
          <w:color w:val="000000"/>
        </w:rPr>
        <w:t xml:space="preserve"> 1, 2023, new</w:t>
      </w:r>
      <w:r w:rsidR="00D103FE">
        <w:t xml:space="preserve"> field-installed linings for compatibility purposes </w:t>
      </w:r>
      <w:r w:rsidR="001F52AC">
        <w:rPr>
          <w:color w:val="000000"/>
        </w:rPr>
        <w:t xml:space="preserve">are only allowed </w:t>
      </w:r>
      <w:r w:rsidR="001F52AC" w:rsidRPr="00082118">
        <w:rPr>
          <w:color w:val="000000"/>
        </w:rPr>
        <w:t>for double-walled tanks equipped with interstitial monitoring</w:t>
      </w:r>
      <w:r w:rsidR="00F963DE" w:rsidRPr="00F963DE">
        <w:t>.  These provisions, allowing new linings for compatibility purposes</w:t>
      </w:r>
      <w:r w:rsidR="001F52AC" w:rsidRPr="001F52AC">
        <w:rPr>
          <w:color w:val="000000"/>
        </w:rPr>
        <w:t xml:space="preserve"> </w:t>
      </w:r>
      <w:r w:rsidR="001F52AC" w:rsidRPr="00082118">
        <w:rPr>
          <w:color w:val="000000"/>
        </w:rPr>
        <w:t>on double-walled tanks equipped with interstitial monitoring</w:t>
      </w:r>
      <w:r w:rsidR="00F963DE" w:rsidRPr="00F963DE">
        <w:t xml:space="preserve"> only, shall not be used to circumvent prohibitions against lining tanks for purposes of corrosion protection or repair.</w:t>
      </w:r>
    </w:p>
    <w:p w14:paraId="4FB51322" w14:textId="77777777" w:rsidR="00D103FE" w:rsidRPr="006000BF" w:rsidRDefault="00D103FE" w:rsidP="00167306"/>
    <w:p w14:paraId="70ABD0F2" w14:textId="77777777" w:rsidR="006000BF" w:rsidRDefault="002C00D2" w:rsidP="00066E21">
      <w:pPr>
        <w:ind w:left="1440" w:hanging="720"/>
      </w:pPr>
      <w:r>
        <w:rPr>
          <w:bCs/>
          <w:iCs/>
        </w:rPr>
        <w:t>e</w:t>
      </w:r>
      <w:r w:rsidR="006000BF" w:rsidRPr="006000BF">
        <w:rPr>
          <w:bCs/>
          <w:iCs/>
        </w:rPr>
        <w:t>)</w:t>
      </w:r>
      <w:r w:rsidR="00893913">
        <w:rPr>
          <w:bCs/>
          <w:iCs/>
        </w:rPr>
        <w:tab/>
      </w:r>
      <w:r w:rsidR="006000BF" w:rsidRPr="006000BF">
        <w:rPr>
          <w:bCs/>
          <w:iCs/>
        </w:rPr>
        <w:t xml:space="preserve">Blended </w:t>
      </w:r>
      <w:r w:rsidR="00A14751">
        <w:rPr>
          <w:bCs/>
          <w:iCs/>
        </w:rPr>
        <w:t>F</w:t>
      </w:r>
      <w:r w:rsidR="006000BF" w:rsidRPr="006000BF">
        <w:rPr>
          <w:bCs/>
          <w:iCs/>
        </w:rPr>
        <w:t xml:space="preserve">uels and </w:t>
      </w:r>
      <w:r w:rsidR="00A14751">
        <w:rPr>
          <w:bCs/>
          <w:iCs/>
        </w:rPr>
        <w:t>C</w:t>
      </w:r>
      <w:r w:rsidR="006000BF" w:rsidRPr="006000BF">
        <w:rPr>
          <w:bCs/>
          <w:iCs/>
        </w:rPr>
        <w:t>ompatibility</w:t>
      </w:r>
      <w:r w:rsidR="00066E21">
        <w:rPr>
          <w:bCs/>
          <w:iCs/>
        </w:rPr>
        <w:t xml:space="preserve">. </w:t>
      </w:r>
      <w:r w:rsidR="006000BF" w:rsidRPr="006000BF">
        <w:t xml:space="preserve">Materials and leak detection equipment that </w:t>
      </w:r>
      <w:r w:rsidR="00F963DE">
        <w:t>are</w:t>
      </w:r>
      <w:r w:rsidR="006000BF" w:rsidRPr="006000BF">
        <w:t xml:space="preserve"> listed as compatible with gasoline and/or petroleum diesel will be permitted to be used with gasoline/ethanol </w:t>
      </w:r>
      <w:r w:rsidR="00F963DE">
        <w:t xml:space="preserve">blends equal to or less than 10% ethanol </w:t>
      </w:r>
      <w:r w:rsidR="006000BF" w:rsidRPr="006000BF">
        <w:t xml:space="preserve">or diesel/biodiesel blends </w:t>
      </w:r>
      <w:r w:rsidR="00F963DE">
        <w:t>equal to or less than 20% biodiesel</w:t>
      </w:r>
      <w:r w:rsidR="006000BF" w:rsidRPr="006000BF">
        <w:t>.</w:t>
      </w:r>
    </w:p>
    <w:p w14:paraId="0A7BCCB4" w14:textId="77777777" w:rsidR="00F963DE" w:rsidRDefault="00F963DE" w:rsidP="00167306"/>
    <w:p w14:paraId="4A68C160" w14:textId="3C1DC735" w:rsidR="00F963DE" w:rsidRPr="006000BF" w:rsidRDefault="001F52AC" w:rsidP="00066E21">
      <w:pPr>
        <w:ind w:left="1440" w:hanging="720"/>
      </w:pPr>
      <w:r>
        <w:t>(Source:  Amended at 4</w:t>
      </w:r>
      <w:r w:rsidR="000444B4">
        <w:t>7</w:t>
      </w:r>
      <w:r>
        <w:t xml:space="preserve"> Ill. Reg. </w:t>
      </w:r>
      <w:r w:rsidR="00913B80">
        <w:t>6837</w:t>
      </w:r>
      <w:r>
        <w:t xml:space="preserve">, effective </w:t>
      </w:r>
      <w:r w:rsidR="00913B80">
        <w:t>May 2, 2023</w:t>
      </w:r>
      <w:r>
        <w:t>)</w:t>
      </w:r>
    </w:p>
    <w:sectPr w:rsidR="00F963DE" w:rsidRPr="006000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CFE2" w14:textId="77777777" w:rsidR="004F42A8" w:rsidRDefault="004F42A8">
      <w:r>
        <w:separator/>
      </w:r>
    </w:p>
  </w:endnote>
  <w:endnote w:type="continuationSeparator" w:id="0">
    <w:p w14:paraId="75659D4E" w14:textId="77777777" w:rsidR="004F42A8" w:rsidRDefault="004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4B41" w14:textId="77777777" w:rsidR="004F42A8" w:rsidRDefault="004F42A8">
      <w:r>
        <w:separator/>
      </w:r>
    </w:p>
  </w:footnote>
  <w:footnote w:type="continuationSeparator" w:id="0">
    <w:p w14:paraId="545143A9" w14:textId="77777777" w:rsidR="004F42A8" w:rsidRDefault="004F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CDD"/>
    <w:multiLevelType w:val="hybridMultilevel"/>
    <w:tmpl w:val="FD12280A"/>
    <w:lvl w:ilvl="0" w:tplc="925C4C34">
      <w:start w:val="1"/>
      <w:numFmt w:val="upperLetter"/>
      <w:lvlText w:val="%1)"/>
      <w:lvlJc w:val="left"/>
      <w:pPr>
        <w:ind w:left="2700" w:hanging="36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07C6B0D"/>
    <w:multiLevelType w:val="hybridMultilevel"/>
    <w:tmpl w:val="04220584"/>
    <w:lvl w:ilvl="0" w:tplc="741E0090">
      <w:start w:val="1"/>
      <w:numFmt w:val="decimal"/>
      <w:lvlText w:val="%1)"/>
      <w:lvlJc w:val="left"/>
      <w:pPr>
        <w:ind w:left="2160" w:hanging="72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DC142D"/>
    <w:multiLevelType w:val="multilevel"/>
    <w:tmpl w:val="7C428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0B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1DB"/>
    <w:rsid w:val="0004011F"/>
    <w:rsid w:val="00040632"/>
    <w:rsid w:val="00040881"/>
    <w:rsid w:val="00042314"/>
    <w:rsid w:val="000444B4"/>
    <w:rsid w:val="00050531"/>
    <w:rsid w:val="00057192"/>
    <w:rsid w:val="0006041A"/>
    <w:rsid w:val="00066013"/>
    <w:rsid w:val="00066E21"/>
    <w:rsid w:val="000676A6"/>
    <w:rsid w:val="00074368"/>
    <w:rsid w:val="000765E0"/>
    <w:rsid w:val="0007746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700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306"/>
    <w:rsid w:val="00174FFD"/>
    <w:rsid w:val="001830D0"/>
    <w:rsid w:val="001858C4"/>
    <w:rsid w:val="0018761A"/>
    <w:rsid w:val="001915E7"/>
    <w:rsid w:val="00191D39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2AC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AF7"/>
    <w:rsid w:val="002958AD"/>
    <w:rsid w:val="002A54F1"/>
    <w:rsid w:val="002A643F"/>
    <w:rsid w:val="002A72C2"/>
    <w:rsid w:val="002A7CB6"/>
    <w:rsid w:val="002B05BA"/>
    <w:rsid w:val="002B67C1"/>
    <w:rsid w:val="002B7812"/>
    <w:rsid w:val="002C00D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3B3"/>
    <w:rsid w:val="00322AC2"/>
    <w:rsid w:val="00323B50"/>
    <w:rsid w:val="00327B81"/>
    <w:rsid w:val="003303A2"/>
    <w:rsid w:val="00332EB2"/>
    <w:rsid w:val="00333320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C92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A89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2A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9C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27E"/>
    <w:rsid w:val="005C7438"/>
    <w:rsid w:val="005D35F3"/>
    <w:rsid w:val="005E03A7"/>
    <w:rsid w:val="005E3D55"/>
    <w:rsid w:val="005F2891"/>
    <w:rsid w:val="006000B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F69"/>
    <w:rsid w:val="0066395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4AE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2D1"/>
    <w:rsid w:val="007F3365"/>
    <w:rsid w:val="00801EEA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913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B80"/>
    <w:rsid w:val="00915C6D"/>
    <w:rsid w:val="009168BC"/>
    <w:rsid w:val="00921F8B"/>
    <w:rsid w:val="00922286"/>
    <w:rsid w:val="00931CDC"/>
    <w:rsid w:val="009323B4"/>
    <w:rsid w:val="00934057"/>
    <w:rsid w:val="0093513C"/>
    <w:rsid w:val="00935A8C"/>
    <w:rsid w:val="00944E3D"/>
    <w:rsid w:val="00950386"/>
    <w:rsid w:val="00952ED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CC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75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DF2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593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1C0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C56"/>
    <w:rsid w:val="00BB0A4F"/>
    <w:rsid w:val="00BB230E"/>
    <w:rsid w:val="00BB6CAC"/>
    <w:rsid w:val="00BC000F"/>
    <w:rsid w:val="00BC00FF"/>
    <w:rsid w:val="00BD0ED2"/>
    <w:rsid w:val="00BD5933"/>
    <w:rsid w:val="00BD63EA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4F2"/>
    <w:rsid w:val="00D0676C"/>
    <w:rsid w:val="00D103FE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EA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FBB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B49"/>
    <w:rsid w:val="00EA0AB9"/>
    <w:rsid w:val="00EA3AC2"/>
    <w:rsid w:val="00EA55CD"/>
    <w:rsid w:val="00EA5A76"/>
    <w:rsid w:val="00EA5FA3"/>
    <w:rsid w:val="00EA6628"/>
    <w:rsid w:val="00EB33C3"/>
    <w:rsid w:val="00EB424E"/>
    <w:rsid w:val="00EC187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3DE"/>
    <w:rsid w:val="00F96704"/>
    <w:rsid w:val="00F97D67"/>
    <w:rsid w:val="00FA0953"/>
    <w:rsid w:val="00FA186E"/>
    <w:rsid w:val="00FA19DB"/>
    <w:rsid w:val="00FA677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01BC0"/>
  <w15:docId w15:val="{7C558BAB-6CC2-47AB-BA94-6BDD0DEA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6000BF"/>
    <w:pPr>
      <w:keepNext/>
      <w:spacing w:after="240"/>
      <w:ind w:left="702" w:hanging="702"/>
      <w:jc w:val="both"/>
    </w:pPr>
    <w:rPr>
      <w:b/>
    </w:rPr>
  </w:style>
  <w:style w:type="character" w:styleId="Hyperlink">
    <w:name w:val="Hyperlink"/>
    <w:basedOn w:val="DefaultParagraphFont"/>
    <w:rsid w:val="00A14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2023-04-27T17:29:00Z</dcterms:created>
  <dcterms:modified xsi:type="dcterms:W3CDTF">2023-05-19T00:10:00Z</dcterms:modified>
</cp:coreProperties>
</file>