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5D" w:rsidRDefault="007F615D" w:rsidP="001244A4">
      <w:pPr>
        <w:rPr>
          <w:b/>
        </w:rPr>
      </w:pPr>
    </w:p>
    <w:p w:rsidR="00AA67F0" w:rsidRDefault="00AA67F0" w:rsidP="001244A4">
      <w:pPr>
        <w:rPr>
          <w:b/>
        </w:rPr>
      </w:pPr>
      <w:r w:rsidRPr="001244A4">
        <w:rPr>
          <w:b/>
        </w:rPr>
        <w:t>Section</w:t>
      </w:r>
      <w:r w:rsidR="001244A4">
        <w:rPr>
          <w:b/>
        </w:rPr>
        <w:t xml:space="preserve"> </w:t>
      </w:r>
      <w:r w:rsidRPr="001244A4">
        <w:rPr>
          <w:b/>
        </w:rPr>
        <w:t>175.310</w:t>
      </w:r>
      <w:r w:rsidR="001244A4">
        <w:rPr>
          <w:b/>
        </w:rPr>
        <w:t xml:space="preserve"> </w:t>
      </w:r>
      <w:r w:rsidRPr="001244A4">
        <w:rPr>
          <w:b/>
        </w:rPr>
        <w:t xml:space="preserve"> Site Plans </w:t>
      </w:r>
    </w:p>
    <w:p w:rsidR="007D7E36" w:rsidRPr="00AA67F0" w:rsidRDefault="007D7E36" w:rsidP="001244A4">
      <w:pPr>
        <w:rPr>
          <w:bCs/>
        </w:rPr>
      </w:pPr>
    </w:p>
    <w:p w:rsidR="00AA67F0" w:rsidRPr="00AA67F0" w:rsidRDefault="00AA67F0" w:rsidP="001244A4">
      <w:pPr>
        <w:rPr>
          <w:bCs/>
        </w:rPr>
      </w:pPr>
      <w:r w:rsidRPr="00AA67F0">
        <w:rPr>
          <w:bCs/>
        </w:rPr>
        <w:t>When OSFM permit application forms indicate that permit submittals must be accompanied by site plans, the following shall apply:</w:t>
      </w:r>
    </w:p>
    <w:p w:rsidR="00AA67F0" w:rsidRPr="00AA67F0" w:rsidRDefault="00AA67F0" w:rsidP="001244A4">
      <w:pPr>
        <w:rPr>
          <w:color w:val="000000"/>
        </w:rPr>
      </w:pPr>
    </w:p>
    <w:p w:rsidR="00AA67F0" w:rsidRPr="00AA67F0" w:rsidRDefault="001244A4" w:rsidP="001244A4">
      <w:pPr>
        <w:ind w:left="1440" w:hanging="720"/>
        <w:rPr>
          <w:color w:val="000000"/>
        </w:rPr>
      </w:pPr>
      <w:r>
        <w:rPr>
          <w:color w:val="000000"/>
        </w:rPr>
        <w:t>a)</w:t>
      </w:r>
      <w:r>
        <w:rPr>
          <w:color w:val="000000"/>
        </w:rPr>
        <w:tab/>
      </w:r>
      <w:r w:rsidR="00AA67F0" w:rsidRPr="00AA67F0">
        <w:rPr>
          <w:color w:val="000000"/>
        </w:rPr>
        <w:t>Site plans shall be submitted simultaneously with associated permit applications and shall accurately reflect the scope and all components of the work involved.</w:t>
      </w:r>
    </w:p>
    <w:p w:rsidR="00AA67F0" w:rsidRPr="00AA67F0" w:rsidRDefault="00AA67F0" w:rsidP="001244A4">
      <w:pPr>
        <w:rPr>
          <w:color w:val="000000"/>
        </w:rPr>
      </w:pPr>
    </w:p>
    <w:p w:rsidR="00AA67F0" w:rsidRPr="00AA67F0" w:rsidRDefault="001244A4" w:rsidP="001244A4">
      <w:pPr>
        <w:ind w:left="1440" w:hanging="720"/>
        <w:rPr>
          <w:color w:val="000000"/>
        </w:rPr>
      </w:pPr>
      <w:r>
        <w:rPr>
          <w:color w:val="000000"/>
        </w:rPr>
        <w:t>b)</w:t>
      </w:r>
      <w:r>
        <w:rPr>
          <w:color w:val="000000"/>
        </w:rPr>
        <w:tab/>
      </w:r>
      <w:r w:rsidR="00AA67F0" w:rsidRPr="00AA67F0">
        <w:rPr>
          <w:color w:val="000000"/>
        </w:rPr>
        <w:t xml:space="preserve">Site plans shall be submitted by the contractor listed on the permit application. </w:t>
      </w:r>
    </w:p>
    <w:p w:rsidR="00AA67F0" w:rsidRPr="00AA67F0" w:rsidRDefault="00AA67F0" w:rsidP="001244A4">
      <w:pPr>
        <w:rPr>
          <w:color w:val="000000"/>
        </w:rPr>
      </w:pPr>
    </w:p>
    <w:p w:rsidR="00AA67F0" w:rsidRPr="00AA67F0" w:rsidRDefault="001244A4" w:rsidP="001244A4">
      <w:pPr>
        <w:ind w:left="1440" w:hanging="720"/>
        <w:rPr>
          <w:color w:val="000000"/>
        </w:rPr>
      </w:pPr>
      <w:r>
        <w:rPr>
          <w:color w:val="000000"/>
        </w:rPr>
        <w:t>c)</w:t>
      </w:r>
      <w:r>
        <w:rPr>
          <w:color w:val="000000"/>
        </w:rPr>
        <w:tab/>
      </w:r>
      <w:r w:rsidR="00AA67F0" w:rsidRPr="00AA67F0">
        <w:rPr>
          <w:color w:val="000000"/>
        </w:rPr>
        <w:t>Site plans shall be legible and sizes shall be 8</w:t>
      </w:r>
      <w:r>
        <w:rPr>
          <w:color w:val="000000"/>
        </w:rPr>
        <w:t>½</w:t>
      </w:r>
      <w:r w:rsidR="00AA67F0" w:rsidRPr="00AA67F0">
        <w:rPr>
          <w:color w:val="000000"/>
        </w:rPr>
        <w:t>" x 11", 8½" x 14"</w:t>
      </w:r>
      <w:r w:rsidR="005823F3">
        <w:rPr>
          <w:color w:val="000000"/>
        </w:rPr>
        <w:t>,</w:t>
      </w:r>
      <w:r w:rsidR="00AA67F0" w:rsidRPr="00AA67F0">
        <w:rPr>
          <w:color w:val="000000"/>
        </w:rPr>
        <w:t xml:space="preserve"> 11" x 17" </w:t>
      </w:r>
      <w:r w:rsidR="005823F3">
        <w:rPr>
          <w:color w:val="000000"/>
        </w:rPr>
        <w:t xml:space="preserve">or electronic scans </w:t>
      </w:r>
      <w:r w:rsidR="00AA67F0" w:rsidRPr="00AA67F0">
        <w:rPr>
          <w:color w:val="000000"/>
        </w:rPr>
        <w:t xml:space="preserve">only; blueprints are not acceptable as site plans. </w:t>
      </w:r>
    </w:p>
    <w:p w:rsidR="00AA67F0" w:rsidRPr="00AA67F0" w:rsidRDefault="00AA67F0" w:rsidP="001244A4">
      <w:pPr>
        <w:rPr>
          <w:color w:val="000000"/>
        </w:rPr>
      </w:pPr>
    </w:p>
    <w:p w:rsidR="00AA67F0" w:rsidRPr="00AA67F0" w:rsidRDefault="001244A4" w:rsidP="001244A4">
      <w:pPr>
        <w:ind w:left="1440" w:hanging="720"/>
        <w:rPr>
          <w:color w:val="000000"/>
        </w:rPr>
      </w:pPr>
      <w:r>
        <w:rPr>
          <w:color w:val="000000"/>
        </w:rPr>
        <w:t>d)</w:t>
      </w:r>
      <w:r>
        <w:rPr>
          <w:color w:val="000000"/>
        </w:rPr>
        <w:tab/>
      </w:r>
      <w:r w:rsidR="00AA67F0" w:rsidRPr="00AA67F0">
        <w:rPr>
          <w:color w:val="000000"/>
        </w:rPr>
        <w:t>Site plans shall be drawn to an identified scale</w:t>
      </w:r>
      <w:r w:rsidR="007D7E36">
        <w:rPr>
          <w:color w:val="000000"/>
        </w:rPr>
        <w:t>,</w:t>
      </w:r>
      <w:r w:rsidR="00AA67F0" w:rsidRPr="00AA67F0">
        <w:rPr>
          <w:color w:val="000000"/>
        </w:rPr>
        <w:t xml:space="preserve"> or all dimensions shall be labeled to allow OSFM to determine compliance with applicable rules.</w:t>
      </w:r>
    </w:p>
    <w:p w:rsidR="00AA67F0" w:rsidRPr="00AA67F0" w:rsidRDefault="00AA67F0" w:rsidP="001244A4">
      <w:pPr>
        <w:rPr>
          <w:color w:val="000000"/>
        </w:rPr>
      </w:pPr>
    </w:p>
    <w:p w:rsidR="00AA67F0" w:rsidRPr="00AA67F0" w:rsidRDefault="001244A4" w:rsidP="001244A4">
      <w:pPr>
        <w:ind w:firstLine="720"/>
        <w:rPr>
          <w:color w:val="000000"/>
        </w:rPr>
      </w:pPr>
      <w:r>
        <w:rPr>
          <w:color w:val="000000"/>
        </w:rPr>
        <w:t>e)</w:t>
      </w:r>
      <w:r>
        <w:rPr>
          <w:color w:val="000000"/>
        </w:rPr>
        <w:tab/>
      </w:r>
      <w:r w:rsidR="00AA67F0" w:rsidRPr="00AA67F0">
        <w:rPr>
          <w:color w:val="000000"/>
        </w:rPr>
        <w:t>Site plans shall indicate or contain the following information:</w:t>
      </w:r>
    </w:p>
    <w:p w:rsidR="00AA67F0" w:rsidRPr="00AA67F0" w:rsidRDefault="00AA67F0" w:rsidP="001244A4">
      <w:pPr>
        <w:rPr>
          <w:color w:val="000000"/>
        </w:rPr>
      </w:pPr>
    </w:p>
    <w:p w:rsidR="00AA67F0" w:rsidRPr="00AA67F0" w:rsidRDefault="00AA67F0" w:rsidP="001244A4">
      <w:pPr>
        <w:ind w:left="720" w:firstLine="720"/>
      </w:pPr>
      <w:r w:rsidRPr="00AA67F0">
        <w:t>1)</w:t>
      </w:r>
      <w:r w:rsidR="001244A4">
        <w:tab/>
      </w:r>
      <w:r w:rsidRPr="00AA67F0">
        <w:t>The name of the OSFM-licensed contractor proposing the work;</w:t>
      </w:r>
    </w:p>
    <w:p w:rsidR="001244A4" w:rsidRDefault="001244A4" w:rsidP="001244A4"/>
    <w:p w:rsidR="00AA67F0" w:rsidRPr="00AA67F0" w:rsidRDefault="00AA67F0" w:rsidP="001244A4">
      <w:pPr>
        <w:ind w:left="2160" w:hanging="720"/>
      </w:pPr>
      <w:r w:rsidRPr="00AA67F0">
        <w:t>2)</w:t>
      </w:r>
      <w:r w:rsidR="001244A4">
        <w:tab/>
      </w:r>
      <w:r w:rsidRPr="00AA67F0">
        <w:t>The name and address of the facility where the proposed work is to occur</w:t>
      </w:r>
      <w:r w:rsidR="007D7E36">
        <w:t>,</w:t>
      </w:r>
      <w:r w:rsidRPr="00AA67F0">
        <w:t xml:space="preserve"> including the location of the proposed work with reference to city, village or town;</w:t>
      </w:r>
    </w:p>
    <w:p w:rsidR="001244A4" w:rsidRDefault="001244A4" w:rsidP="001244A4"/>
    <w:p w:rsidR="00AA67F0" w:rsidRPr="00AA67F0" w:rsidRDefault="00AA67F0" w:rsidP="001244A4">
      <w:pPr>
        <w:ind w:left="2160" w:hanging="720"/>
      </w:pPr>
      <w:r w:rsidRPr="00AA67F0">
        <w:t>3)</w:t>
      </w:r>
      <w:r w:rsidR="001244A4">
        <w:tab/>
      </w:r>
      <w:r w:rsidRPr="00AA67F0">
        <w:t>The plot to be utilized and its immediate surroundings on all sides. All property lines are to be designated and adjacent streets and highways shall be named, and legends or markings shall include a compass marking the directions of north, east, south and west;</w:t>
      </w:r>
    </w:p>
    <w:p w:rsidR="001244A4" w:rsidRDefault="001244A4" w:rsidP="001244A4"/>
    <w:p w:rsidR="00AA67F0" w:rsidRPr="00AA67F0" w:rsidRDefault="00AA67F0" w:rsidP="001244A4">
      <w:pPr>
        <w:ind w:left="2160" w:hanging="720"/>
      </w:pPr>
      <w:r w:rsidRPr="00AA67F0">
        <w:t>4)</w:t>
      </w:r>
      <w:r w:rsidR="001244A4">
        <w:tab/>
      </w:r>
      <w:r w:rsidRPr="00AA67F0">
        <w:t>The components of the installation as proposed, including tanks and their capacities, name and class of liquids to be stored, piping, pumps, dispensers, buildings and all UST equipment</w:t>
      </w:r>
      <w:r w:rsidR="007D7E36">
        <w:t>.</w:t>
      </w:r>
      <w:r w:rsidRPr="00AA67F0">
        <w:t xml:space="preserve"> When partial piping is being installed or replaced, show total length of the entire piping run and identify the specific length and location of the portion of the piping that is being installed or replaced;</w:t>
      </w:r>
    </w:p>
    <w:p w:rsidR="001244A4" w:rsidRDefault="001244A4" w:rsidP="001244A4"/>
    <w:p w:rsidR="00AA67F0" w:rsidRPr="00AA67F0" w:rsidRDefault="00AA67F0" w:rsidP="001244A4">
      <w:pPr>
        <w:ind w:left="720" w:firstLine="720"/>
      </w:pPr>
      <w:r w:rsidRPr="00AA67F0">
        <w:t>5)</w:t>
      </w:r>
      <w:r w:rsidR="001244A4">
        <w:tab/>
      </w:r>
      <w:r w:rsidRPr="00AA67F0">
        <w:t xml:space="preserve">Clearance from tanks and piping to property lines; </w:t>
      </w:r>
    </w:p>
    <w:p w:rsidR="001244A4" w:rsidRDefault="001244A4" w:rsidP="001244A4"/>
    <w:p w:rsidR="00AA67F0" w:rsidRPr="00AA67F0" w:rsidRDefault="00AA67F0" w:rsidP="001244A4">
      <w:pPr>
        <w:ind w:left="720" w:firstLine="720"/>
      </w:pPr>
      <w:r w:rsidRPr="00AA67F0">
        <w:t>6)</w:t>
      </w:r>
      <w:r w:rsidR="001244A4">
        <w:tab/>
      </w:r>
      <w:r w:rsidRPr="00AA67F0">
        <w:t>Clearances from tanks and piping to adjacent buildings;</w:t>
      </w:r>
    </w:p>
    <w:p w:rsidR="001244A4" w:rsidRDefault="001244A4" w:rsidP="001244A4"/>
    <w:p w:rsidR="00AA67F0" w:rsidRPr="00AA67F0" w:rsidRDefault="00AA67F0" w:rsidP="001244A4">
      <w:pPr>
        <w:ind w:left="720" w:firstLine="720"/>
      </w:pPr>
      <w:r w:rsidRPr="00AA67F0">
        <w:t>7)</w:t>
      </w:r>
      <w:r w:rsidR="001244A4">
        <w:tab/>
      </w:r>
      <w:r w:rsidRPr="00AA67F0">
        <w:t>Separation distance between USTs when more than one UST is present;</w:t>
      </w:r>
    </w:p>
    <w:p w:rsidR="001244A4" w:rsidRDefault="001244A4" w:rsidP="001244A4"/>
    <w:p w:rsidR="00AA67F0" w:rsidRPr="00AA67F0" w:rsidRDefault="00AA67F0" w:rsidP="001244A4">
      <w:pPr>
        <w:ind w:left="720" w:firstLine="720"/>
      </w:pPr>
      <w:r w:rsidRPr="00AA67F0">
        <w:t>8)</w:t>
      </w:r>
      <w:r w:rsidR="001244A4">
        <w:tab/>
      </w:r>
      <w:r w:rsidRPr="00AA67F0">
        <w:t>Location of driveways or paths for vehicle access;</w:t>
      </w:r>
    </w:p>
    <w:p w:rsidR="001244A4" w:rsidRDefault="001244A4" w:rsidP="001244A4"/>
    <w:p w:rsidR="00AA67F0" w:rsidRPr="00AA67F0" w:rsidRDefault="00AA67F0" w:rsidP="001244A4">
      <w:pPr>
        <w:ind w:left="2160" w:hanging="720"/>
      </w:pPr>
      <w:r w:rsidRPr="00AA67F0">
        <w:lastRenderedPageBreak/>
        <w:t>9)</w:t>
      </w:r>
      <w:r w:rsidR="001244A4">
        <w:tab/>
      </w:r>
      <w:r w:rsidRPr="00AA67F0">
        <w:t>Location of existing piping trenches not being reused, existing trenches being reused, and new trenches where new piping is being installed;</w:t>
      </w:r>
    </w:p>
    <w:p w:rsidR="001244A4" w:rsidRDefault="001244A4" w:rsidP="001244A4"/>
    <w:p w:rsidR="00AA67F0" w:rsidRPr="00AA67F0" w:rsidRDefault="00AA67F0" w:rsidP="001244A4">
      <w:pPr>
        <w:ind w:left="2160" w:hanging="855"/>
      </w:pPr>
      <w:r w:rsidRPr="00AA67F0">
        <w:t>10)</w:t>
      </w:r>
      <w:r w:rsidR="001244A4">
        <w:tab/>
      </w:r>
      <w:r w:rsidRPr="00AA67F0">
        <w:t>Location of electrical wiring and conduit</w:t>
      </w:r>
      <w:r w:rsidR="007D7E36">
        <w:t>,</w:t>
      </w:r>
      <w:r w:rsidRPr="00AA67F0">
        <w:t xml:space="preserve"> including an indication of the depth or elevation at which these components will be installed;</w:t>
      </w:r>
    </w:p>
    <w:p w:rsidR="001244A4" w:rsidRDefault="001244A4" w:rsidP="001244A4">
      <w:pPr>
        <w:ind w:hanging="855"/>
      </w:pPr>
    </w:p>
    <w:p w:rsidR="00AA67F0" w:rsidRPr="00AA67F0" w:rsidRDefault="00AA67F0" w:rsidP="001244A4">
      <w:pPr>
        <w:ind w:left="2160" w:hanging="855"/>
      </w:pPr>
      <w:r w:rsidRPr="00AA67F0">
        <w:t>11)</w:t>
      </w:r>
      <w:r w:rsidR="001244A4">
        <w:tab/>
      </w:r>
      <w:r w:rsidRPr="00AA67F0">
        <w:t>Location of basements, cellars or pits of buildings on the property or on adjacent properties</w:t>
      </w:r>
      <w:r w:rsidR="007D7E36">
        <w:t>,</w:t>
      </w:r>
      <w:r w:rsidRPr="00AA67F0">
        <w:t xml:space="preserve"> and location of tanks and piping to allow OSFM to ensure compliance with Section 175.430. If buildings on the property or adjacent property have no basements, cellars or pits, a notation to that effect sh</w:t>
      </w:r>
      <w:r w:rsidR="007D7E36">
        <w:t>all</w:t>
      </w:r>
      <w:r w:rsidRPr="00AA67F0">
        <w:t xml:space="preserve"> be made on the site plan;</w:t>
      </w:r>
    </w:p>
    <w:p w:rsidR="001244A4" w:rsidRDefault="001244A4" w:rsidP="001244A4">
      <w:pPr>
        <w:ind w:hanging="855"/>
      </w:pPr>
    </w:p>
    <w:p w:rsidR="00AA67F0" w:rsidRPr="00AA67F0" w:rsidRDefault="00AA67F0" w:rsidP="001244A4">
      <w:pPr>
        <w:ind w:left="2160" w:hanging="855"/>
      </w:pPr>
      <w:r w:rsidRPr="00AA67F0">
        <w:t>12)</w:t>
      </w:r>
      <w:r w:rsidR="001244A4">
        <w:tab/>
      </w:r>
      <w:r w:rsidRPr="00AA67F0">
        <w:t xml:space="preserve">Location of sewers, manholes, catch basins, cesspools, septic tanks, wells or cisterns (whether on the property, </w:t>
      </w:r>
      <w:r w:rsidR="007D7E36">
        <w:t xml:space="preserve">on </w:t>
      </w:r>
      <w:r w:rsidRPr="00AA67F0">
        <w:t>adjacent property or in adjoining streets, highways or alleys); whether the sewer is made of petroleum-resistant piping or material; and location of tanks and piping to allow OSFM to ensure compliance with Section 175.430. If there is no sewer, manhole or catch basin in a street or alley or no sewer, cesspool, septic tank, well or cistern on a property, a notation to that effect sh</w:t>
      </w:r>
      <w:r w:rsidR="007D7E36">
        <w:t>all</w:t>
      </w:r>
      <w:r w:rsidRPr="00AA67F0">
        <w:t xml:space="preserve"> be made on the site plan; </w:t>
      </w:r>
    </w:p>
    <w:p w:rsidR="001244A4" w:rsidRDefault="001244A4" w:rsidP="001244A4">
      <w:pPr>
        <w:ind w:hanging="855"/>
      </w:pPr>
    </w:p>
    <w:p w:rsidR="00AA67F0" w:rsidRPr="00AA67F0" w:rsidRDefault="00AA67F0" w:rsidP="001244A4">
      <w:pPr>
        <w:ind w:left="2160" w:hanging="855"/>
      </w:pPr>
      <w:r w:rsidRPr="00AA67F0">
        <w:t>13)</w:t>
      </w:r>
      <w:r w:rsidR="001244A4">
        <w:tab/>
      </w:r>
      <w:r w:rsidRPr="00AA67F0">
        <w:t>Location of UST vent piping, vent termination points, and any other vent outlets required by Section 175.440, including a clear indication of the elevation of vent termination points</w:t>
      </w:r>
      <w:r w:rsidR="00ED2AEF">
        <w:t>;</w:t>
      </w:r>
    </w:p>
    <w:p w:rsidR="001244A4" w:rsidRDefault="001244A4" w:rsidP="001244A4">
      <w:pPr>
        <w:ind w:hanging="855"/>
      </w:pPr>
    </w:p>
    <w:p w:rsidR="00AA67F0" w:rsidRPr="00AA67F0" w:rsidRDefault="00AA67F0" w:rsidP="001244A4">
      <w:pPr>
        <w:ind w:left="2160" w:hanging="855"/>
      </w:pPr>
      <w:r w:rsidRPr="00AA67F0">
        <w:t>14)</w:t>
      </w:r>
      <w:r w:rsidR="001244A4">
        <w:tab/>
      </w:r>
      <w:r w:rsidRPr="00AA67F0">
        <w:t xml:space="preserve">Location of fill pipes, including remote fills, required by Section 175.445; </w:t>
      </w:r>
    </w:p>
    <w:p w:rsidR="001244A4" w:rsidRDefault="001244A4" w:rsidP="001244A4">
      <w:pPr>
        <w:ind w:left="720" w:hanging="855"/>
      </w:pPr>
    </w:p>
    <w:p w:rsidR="00AA67F0" w:rsidRPr="00AA67F0" w:rsidRDefault="00AA67F0" w:rsidP="001244A4">
      <w:pPr>
        <w:ind w:left="2160" w:hanging="855"/>
      </w:pPr>
      <w:r w:rsidRPr="00AA67F0">
        <w:t>15)</w:t>
      </w:r>
      <w:r w:rsidR="001244A4">
        <w:tab/>
      </w:r>
      <w:r w:rsidRPr="00AA67F0">
        <w:t xml:space="preserve">Ventilation methods for grease pits or other below-grade areas </w:t>
      </w:r>
      <w:r w:rsidR="00ED2AEF">
        <w:t>required by Section 175.450(f);</w:t>
      </w:r>
      <w:r w:rsidRPr="00AA67F0">
        <w:t xml:space="preserve"> </w:t>
      </w:r>
    </w:p>
    <w:p w:rsidR="001244A4" w:rsidRDefault="001244A4" w:rsidP="001244A4">
      <w:pPr>
        <w:ind w:hanging="855"/>
      </w:pPr>
    </w:p>
    <w:p w:rsidR="00AA67F0" w:rsidRPr="00AA67F0" w:rsidRDefault="00AA67F0" w:rsidP="001244A4">
      <w:pPr>
        <w:ind w:left="2160" w:hanging="855"/>
      </w:pPr>
      <w:r w:rsidRPr="00AA67F0">
        <w:t>16)</w:t>
      </w:r>
      <w:r w:rsidR="001244A4">
        <w:tab/>
      </w:r>
      <w:r w:rsidRPr="00AA67F0">
        <w:t>Location and form of all collision protection for dispensers and vent terminals; and</w:t>
      </w:r>
    </w:p>
    <w:p w:rsidR="001244A4" w:rsidRDefault="001244A4" w:rsidP="001244A4">
      <w:pPr>
        <w:ind w:hanging="855"/>
      </w:pPr>
    </w:p>
    <w:p w:rsidR="00AA67F0" w:rsidRPr="00AA67F0" w:rsidRDefault="00AA67F0" w:rsidP="001244A4">
      <w:pPr>
        <w:ind w:left="2160" w:hanging="855"/>
      </w:pPr>
      <w:r w:rsidRPr="00AA67F0">
        <w:t>17)</w:t>
      </w:r>
      <w:r w:rsidR="001244A4">
        <w:tab/>
      </w:r>
      <w:r w:rsidRPr="00AA67F0">
        <w:t>Any other information pertinent to the installation to ensure that OSFM plan reviewers can determine compliance with applicable rules.</w:t>
      </w:r>
    </w:p>
    <w:p w:rsidR="001244A4" w:rsidRDefault="001244A4" w:rsidP="001244A4">
      <w:pPr>
        <w:ind w:hanging="855"/>
      </w:pPr>
      <w:bookmarkStart w:id="0" w:name="_Toc166050209"/>
    </w:p>
    <w:p w:rsidR="00AA67F0" w:rsidRDefault="00AA67F0" w:rsidP="00ED2AEF">
      <w:pPr>
        <w:ind w:left="1305" w:hanging="585"/>
      </w:pPr>
      <w:r w:rsidRPr="00ED2AEF">
        <w:t>f)</w:t>
      </w:r>
      <w:r w:rsidRPr="00ED2AEF">
        <w:tab/>
        <w:t xml:space="preserve">In the event there is a delegation of authority to the City of Chicago to enforce </w:t>
      </w:r>
      <w:smartTag w:uri="urn:schemas-microsoft-com:office:smarttags" w:element="stockticker">
        <w:r w:rsidRPr="00ED2AEF">
          <w:t>UST</w:t>
        </w:r>
      </w:smartTag>
      <w:r w:rsidRPr="00ED2AEF">
        <w:t xml:space="preserve"> rules and regulations, pursuant to </w:t>
      </w:r>
      <w:r w:rsidR="003331B8">
        <w:t>the Gasoline Storage Act</w:t>
      </w:r>
      <w:r w:rsidR="00247049">
        <w:t xml:space="preserve"> [430 ILCS 15/2]</w:t>
      </w:r>
      <w:r w:rsidRPr="00ED2AEF">
        <w:t xml:space="preserve">, subject to the terms of </w:t>
      </w:r>
      <w:r w:rsidR="00ED2AEF">
        <w:t>the</w:t>
      </w:r>
      <w:r w:rsidRPr="00ED2AEF">
        <w:t xml:space="preserve"> agreement, the City has the authority to modify this Section to change any reference to </w:t>
      </w:r>
      <w:r w:rsidR="001244A4" w:rsidRPr="00ED2AEF">
        <w:t>"</w:t>
      </w:r>
      <w:r w:rsidRPr="00ED2AEF">
        <w:t>Office of the State Fire Marshal</w:t>
      </w:r>
      <w:r w:rsidR="00ED2AEF">
        <w:t>"</w:t>
      </w:r>
      <w:r w:rsidRPr="00ED2AEF">
        <w:t xml:space="preserve"> or </w:t>
      </w:r>
      <w:r w:rsidR="00ED2AEF">
        <w:t>OSFM</w:t>
      </w:r>
      <w:r w:rsidRPr="00ED2AEF">
        <w:t xml:space="preserve"> to the appropriate City authority.</w:t>
      </w:r>
      <w:bookmarkEnd w:id="0"/>
    </w:p>
    <w:p w:rsidR="005823F3" w:rsidRDefault="005823F3" w:rsidP="00ED2AEF">
      <w:pPr>
        <w:ind w:left="1305" w:hanging="585"/>
      </w:pPr>
    </w:p>
    <w:p w:rsidR="005823F3" w:rsidRPr="00ED2AEF" w:rsidRDefault="005823F3" w:rsidP="00ED2AEF">
      <w:pPr>
        <w:ind w:left="1305" w:hanging="585"/>
      </w:pPr>
      <w:r>
        <w:t xml:space="preserve">(Source:  Amended at 42 Ill. Reg. </w:t>
      </w:r>
      <w:r w:rsidR="00430D64">
        <w:t>10476</w:t>
      </w:r>
      <w:r>
        <w:t xml:space="preserve">, effective </w:t>
      </w:r>
      <w:bookmarkStart w:id="1" w:name="_GoBack"/>
      <w:r w:rsidR="00430D64">
        <w:t>October 13, 2018</w:t>
      </w:r>
      <w:bookmarkEnd w:id="1"/>
      <w:r>
        <w:t>)</w:t>
      </w:r>
    </w:p>
    <w:sectPr w:rsidR="005823F3" w:rsidRPr="00ED2AE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2D9" w:rsidRDefault="00A072D9">
      <w:r>
        <w:separator/>
      </w:r>
    </w:p>
  </w:endnote>
  <w:endnote w:type="continuationSeparator" w:id="0">
    <w:p w:rsidR="00A072D9" w:rsidRDefault="00A0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2D9" w:rsidRDefault="00A072D9">
      <w:r>
        <w:separator/>
      </w:r>
    </w:p>
  </w:footnote>
  <w:footnote w:type="continuationSeparator" w:id="0">
    <w:p w:rsidR="00A072D9" w:rsidRDefault="00A072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0728D"/>
    <w:multiLevelType w:val="hybridMultilevel"/>
    <w:tmpl w:val="AA502A60"/>
    <w:lvl w:ilvl="0" w:tplc="920A1652">
      <w:start w:val="1"/>
      <w:numFmt w:val="lowerLetter"/>
      <w:lvlText w:val="%1)"/>
      <w:lvlJc w:val="left"/>
      <w:pPr>
        <w:ind w:left="1080" w:hanging="360"/>
      </w:pPr>
    </w:lvl>
    <w:lvl w:ilvl="1" w:tplc="04090019">
      <w:start w:val="1"/>
      <w:numFmt w:val="lowerLetter"/>
      <w:lvlText w:val="%2."/>
      <w:lvlJc w:val="left"/>
      <w:pPr>
        <w:ind w:left="1800" w:hanging="360"/>
      </w:pPr>
    </w:lvl>
    <w:lvl w:ilvl="2" w:tplc="17100AA2">
      <w:start w:val="1"/>
      <w:numFmt w:val="lowerLetter"/>
      <w:lvlText w:val="(%3)"/>
      <w:lvlJc w:val="left"/>
      <w:pPr>
        <w:tabs>
          <w:tab w:val="num" w:pos="2700"/>
        </w:tabs>
        <w:ind w:left="2700" w:hanging="360"/>
      </w:pPr>
    </w:lvl>
    <w:lvl w:ilvl="3" w:tplc="0409000F">
      <w:start w:val="1"/>
      <w:numFmt w:val="decimal"/>
      <w:lvlText w:val="%4."/>
      <w:lvlJc w:val="left"/>
      <w:pPr>
        <w:ind w:left="3240" w:hanging="360"/>
      </w:pPr>
    </w:lvl>
    <w:lvl w:ilvl="4" w:tplc="04090019">
      <w:start w:val="1"/>
      <w:numFmt w:val="decimal"/>
      <w:lvlText w:val="%5."/>
      <w:lvlJc w:val="left"/>
      <w:pPr>
        <w:tabs>
          <w:tab w:val="num" w:pos="3600"/>
        </w:tabs>
        <w:ind w:left="3600" w:hanging="360"/>
      </w:pPr>
    </w:lvl>
    <w:lvl w:ilvl="5" w:tplc="0409001B">
      <w:start w:val="1"/>
      <w:numFmt w:val="lowerRoman"/>
      <w:lvlText w:val="%6."/>
      <w:lvlJc w:val="right"/>
      <w:pPr>
        <w:ind w:left="468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44734C0"/>
    <w:multiLevelType w:val="multilevel"/>
    <w:tmpl w:val="CCE63F48"/>
    <w:name w:val="zzmpOutline3||Outline3|2|3|1|0|0|33||1|0|0||1|0|0||1|0|0||1|0|0||1|0|33||1|0|0||1|0|0||1|0|0||2"/>
    <w:lvl w:ilvl="0">
      <w:start w:val="1"/>
      <w:numFmt w:val="none"/>
      <w:pStyle w:val="Outline3L1"/>
      <w:suff w:val="nothing"/>
      <w:lvlText w:val=""/>
      <w:lvlJc w:val="left"/>
      <w:pPr>
        <w:ind w:left="720" w:hanging="720"/>
      </w:pPr>
      <w:rPr>
        <w:rFonts w:ascii="Times New Roman" w:hAnsi="Times New Roman" w:cs="Times New Roman" w:hint="default"/>
        <w:b/>
        <w:i w:val="0"/>
        <w:caps w:val="0"/>
        <w:strike w:val="0"/>
        <w:dstrike w:val="0"/>
        <w:sz w:val="24"/>
        <w:u w:val="none"/>
        <w:effect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trike w:val="0"/>
        <w:dstrike w:val="0"/>
        <w:sz w:val="24"/>
        <w:u w:val="none"/>
        <w:effect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trike w:val="0"/>
        <w:dstrike w:val="0"/>
        <w:sz w:val="24"/>
        <w:u w:val="none"/>
        <w:effect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trike w:val="0"/>
        <w:dstrike w:val="0"/>
        <w:sz w:val="24"/>
        <w:u w:val="none"/>
        <w:effect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trike w:val="0"/>
        <w:dstrike w:val="0"/>
        <w:sz w:val="24"/>
        <w:u w:val="none"/>
        <w:effect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trike w:val="0"/>
        <w:dstrike w:val="0"/>
        <w:sz w:val="24"/>
        <w:u w:val="none"/>
        <w:effect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trike w:val="0"/>
        <w:dstrike w:val="0"/>
        <w:sz w:val="24"/>
        <w:u w:val="none"/>
        <w:effect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trike w:val="0"/>
        <w:dstrike w:val="0"/>
        <w:sz w:val="24"/>
        <w:u w:val="none"/>
        <w:effect w:val="none"/>
      </w:rPr>
    </w:lvl>
  </w:abstractNum>
  <w:num w:numId="1">
    <w:abstractNumId w:val="1"/>
    <w:lvlOverride w:ilvl="0">
      <w:startOverride w:val="1"/>
    </w:lvlOverride>
    <w:lvlOverride w:ilvl="1">
      <w:startOverride w:val="1"/>
    </w:lvlOverride>
    <w:lvlOverride w:ilvl="2">
      <w:startOverride w:val="15"/>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67F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44A4"/>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C3A"/>
    <w:rsid w:val="002047E2"/>
    <w:rsid w:val="00207A0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47049"/>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31B8"/>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855"/>
    <w:rsid w:val="003F3A28"/>
    <w:rsid w:val="003F5FD7"/>
    <w:rsid w:val="003F60AF"/>
    <w:rsid w:val="004014FB"/>
    <w:rsid w:val="00404222"/>
    <w:rsid w:val="0040431F"/>
    <w:rsid w:val="00420E63"/>
    <w:rsid w:val="004218A0"/>
    <w:rsid w:val="00426A13"/>
    <w:rsid w:val="00430D64"/>
    <w:rsid w:val="00431CFE"/>
    <w:rsid w:val="004326E0"/>
    <w:rsid w:val="004378C7"/>
    <w:rsid w:val="00441A81"/>
    <w:rsid w:val="00443D85"/>
    <w:rsid w:val="004448CB"/>
    <w:rsid w:val="004454F6"/>
    <w:rsid w:val="004536AB"/>
    <w:rsid w:val="00453E6F"/>
    <w:rsid w:val="00455043"/>
    <w:rsid w:val="00457B7C"/>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3F3"/>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7A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2F6"/>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7E36"/>
    <w:rsid w:val="007E5206"/>
    <w:rsid w:val="007F1A7F"/>
    <w:rsid w:val="007F28A2"/>
    <w:rsid w:val="007F3365"/>
    <w:rsid w:val="007F615D"/>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42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2D9"/>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7F0"/>
    <w:rsid w:val="00AA6F19"/>
    <w:rsid w:val="00AB12CF"/>
    <w:rsid w:val="00AB1466"/>
    <w:rsid w:val="00AC0DD5"/>
    <w:rsid w:val="00AC4914"/>
    <w:rsid w:val="00AC6F0C"/>
    <w:rsid w:val="00AC7225"/>
    <w:rsid w:val="00AD2A5F"/>
    <w:rsid w:val="00AE00C8"/>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498"/>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DAB"/>
    <w:rsid w:val="00CC4FF8"/>
    <w:rsid w:val="00CD3723"/>
    <w:rsid w:val="00CD5413"/>
    <w:rsid w:val="00CE01BF"/>
    <w:rsid w:val="00CE4292"/>
    <w:rsid w:val="00D03A79"/>
    <w:rsid w:val="00D0676C"/>
    <w:rsid w:val="00D073D0"/>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2AEF"/>
    <w:rsid w:val="00EE2300"/>
    <w:rsid w:val="00EE490D"/>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1EF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4A23A73E-0312-42E4-9897-F6EF3DC2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AA67F0"/>
    <w:pPr>
      <w:keepNext/>
      <w:numPr>
        <w:numId w:val="1"/>
      </w:numPr>
      <w:spacing w:after="240"/>
      <w:jc w:val="both"/>
      <w:outlineLvl w:val="0"/>
    </w:pPr>
    <w:rPr>
      <w:b/>
      <w:szCs w:val="20"/>
    </w:rPr>
  </w:style>
  <w:style w:type="paragraph" w:customStyle="1" w:styleId="Outline3L2">
    <w:name w:val="Outline3_L2"/>
    <w:basedOn w:val="Outline3L1"/>
    <w:rsid w:val="00AA67F0"/>
    <w:pPr>
      <w:keepNext w:val="0"/>
      <w:numPr>
        <w:ilvl w:val="1"/>
      </w:numPr>
      <w:outlineLvl w:val="1"/>
    </w:pPr>
    <w:rPr>
      <w:b w:val="0"/>
    </w:rPr>
  </w:style>
  <w:style w:type="paragraph" w:customStyle="1" w:styleId="Outline3L3">
    <w:name w:val="Outline3_L3"/>
    <w:basedOn w:val="Outline3L2"/>
    <w:rsid w:val="00AA67F0"/>
    <w:pPr>
      <w:numPr>
        <w:ilvl w:val="2"/>
      </w:numPr>
      <w:outlineLvl w:val="2"/>
    </w:pPr>
  </w:style>
  <w:style w:type="paragraph" w:customStyle="1" w:styleId="Outline3L4">
    <w:name w:val="Outline3_L4"/>
    <w:basedOn w:val="Outline3L3"/>
    <w:rsid w:val="00AA67F0"/>
    <w:pPr>
      <w:numPr>
        <w:ilvl w:val="3"/>
      </w:numPr>
      <w:outlineLvl w:val="3"/>
    </w:pPr>
  </w:style>
  <w:style w:type="paragraph" w:customStyle="1" w:styleId="Outline3L5">
    <w:name w:val="Outline3_L5"/>
    <w:basedOn w:val="Outline3L4"/>
    <w:rsid w:val="00AA67F0"/>
    <w:pPr>
      <w:numPr>
        <w:ilvl w:val="4"/>
      </w:numPr>
      <w:outlineLvl w:val="4"/>
    </w:pPr>
  </w:style>
  <w:style w:type="paragraph" w:customStyle="1" w:styleId="Outline3L6">
    <w:name w:val="Outline3_L6"/>
    <w:basedOn w:val="Outline3L5"/>
    <w:rsid w:val="00AA67F0"/>
    <w:pPr>
      <w:numPr>
        <w:ilvl w:val="5"/>
      </w:numPr>
      <w:outlineLvl w:val="5"/>
    </w:pPr>
    <w:rPr>
      <w:b/>
    </w:rPr>
  </w:style>
  <w:style w:type="paragraph" w:customStyle="1" w:styleId="Outline3L7">
    <w:name w:val="Outline3_L7"/>
    <w:basedOn w:val="Outline3L6"/>
    <w:rsid w:val="00AA67F0"/>
    <w:pPr>
      <w:numPr>
        <w:ilvl w:val="6"/>
      </w:numPr>
      <w:outlineLvl w:val="6"/>
    </w:pPr>
    <w:rPr>
      <w:b w:val="0"/>
    </w:rPr>
  </w:style>
  <w:style w:type="paragraph" w:customStyle="1" w:styleId="Outline3L8">
    <w:name w:val="Outline3_L8"/>
    <w:basedOn w:val="Outline3L7"/>
    <w:rsid w:val="00AA67F0"/>
    <w:pPr>
      <w:numPr>
        <w:ilvl w:val="7"/>
      </w:numPr>
      <w:jc w:val="left"/>
      <w:outlineLvl w:val="7"/>
    </w:pPr>
  </w:style>
  <w:style w:type="paragraph" w:customStyle="1" w:styleId="Outline3L9">
    <w:name w:val="Outline3_L9"/>
    <w:basedOn w:val="Outline3L8"/>
    <w:rsid w:val="00AA67F0"/>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040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BockewitzCK</cp:lastModifiedBy>
  <cp:revision>3</cp:revision>
  <dcterms:created xsi:type="dcterms:W3CDTF">2018-05-15T15:13:00Z</dcterms:created>
  <dcterms:modified xsi:type="dcterms:W3CDTF">2018-10-12T20:43:00Z</dcterms:modified>
</cp:coreProperties>
</file>