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EB" w:rsidRDefault="00B11DEB" w:rsidP="00B11DEB">
      <w:pPr>
        <w:widowControl w:val="0"/>
        <w:autoSpaceDE w:val="0"/>
        <w:autoSpaceDN w:val="0"/>
        <w:adjustRightInd w:val="0"/>
      </w:pPr>
      <w:bookmarkStart w:id="0" w:name="_GoBack"/>
      <w:bookmarkEnd w:id="0"/>
    </w:p>
    <w:p w:rsidR="00B11DEB" w:rsidRDefault="00B11DEB" w:rsidP="00B11DEB">
      <w:pPr>
        <w:widowControl w:val="0"/>
        <w:autoSpaceDE w:val="0"/>
        <w:autoSpaceDN w:val="0"/>
        <w:adjustRightInd w:val="0"/>
      </w:pPr>
      <w:r>
        <w:rPr>
          <w:b/>
          <w:bCs/>
        </w:rPr>
        <w:t xml:space="preserve">Section </w:t>
      </w:r>
      <w:proofErr w:type="gramStart"/>
      <w:r>
        <w:rPr>
          <w:b/>
          <w:bCs/>
        </w:rPr>
        <w:t>160.70  Material</w:t>
      </w:r>
      <w:proofErr w:type="gramEnd"/>
      <w:r>
        <w:rPr>
          <w:b/>
          <w:bCs/>
        </w:rPr>
        <w:t xml:space="preserve"> and Construction of Tanks </w:t>
      </w:r>
      <w:r w:rsidR="00E80BB9">
        <w:rPr>
          <w:b/>
          <w:bCs/>
        </w:rPr>
        <w:t>–</w:t>
      </w:r>
      <w:r>
        <w:rPr>
          <w:b/>
          <w:bCs/>
        </w:rPr>
        <w:t xml:space="preserve"> Specifications</w:t>
      </w:r>
      <w:r>
        <w:t xml:space="preserve"> </w:t>
      </w:r>
    </w:p>
    <w:p w:rsidR="00B11DEB" w:rsidRDefault="00B11DEB" w:rsidP="00B11DEB">
      <w:pPr>
        <w:widowControl w:val="0"/>
        <w:autoSpaceDE w:val="0"/>
        <w:autoSpaceDN w:val="0"/>
        <w:adjustRightInd w:val="0"/>
      </w:pPr>
    </w:p>
    <w:p w:rsidR="00B11DEB" w:rsidRDefault="00B11DEB" w:rsidP="00B11DEB">
      <w:pPr>
        <w:widowControl w:val="0"/>
        <w:autoSpaceDE w:val="0"/>
        <w:autoSpaceDN w:val="0"/>
        <w:adjustRightInd w:val="0"/>
        <w:ind w:left="1440" w:hanging="720"/>
      </w:pPr>
      <w:r>
        <w:t>a)</w:t>
      </w:r>
      <w:r>
        <w:tab/>
        <w:t xml:space="preserve">Factory assembled tanks shall bear the label of Underwriters' Laboratories Standard UL 142 (1972) for aboveground storage or UL 58 (1976) for underground storage. Field erected tanks shall meet the specifications of the National Fire Protection Association, as published in NFPA Standard No. 30, (1981), or those of the American Petroleum Institute, Standard 650 (1983) or 620 (1978). No open tank shall be used. </w:t>
      </w:r>
    </w:p>
    <w:p w:rsidR="00277932" w:rsidRDefault="00277932" w:rsidP="00B11DEB">
      <w:pPr>
        <w:widowControl w:val="0"/>
        <w:autoSpaceDE w:val="0"/>
        <w:autoSpaceDN w:val="0"/>
        <w:adjustRightInd w:val="0"/>
        <w:ind w:left="1440" w:hanging="720"/>
      </w:pPr>
    </w:p>
    <w:p w:rsidR="00B11DEB" w:rsidRDefault="00B11DEB" w:rsidP="00B11DEB">
      <w:pPr>
        <w:widowControl w:val="0"/>
        <w:autoSpaceDE w:val="0"/>
        <w:autoSpaceDN w:val="0"/>
        <w:adjustRightInd w:val="0"/>
        <w:ind w:left="1440" w:hanging="720"/>
      </w:pPr>
      <w:r>
        <w:t>b)</w:t>
      </w:r>
      <w:r>
        <w:tab/>
        <w:t xml:space="preserve">Metallic tanks shall be covered with </w:t>
      </w:r>
      <w:proofErr w:type="spellStart"/>
      <w:r>
        <w:t>asphaltum</w:t>
      </w:r>
      <w:proofErr w:type="spellEnd"/>
      <w:r>
        <w:t xml:space="preserve"> or other non-rusting coating or paint and </w:t>
      </w:r>
      <w:proofErr w:type="spellStart"/>
      <w:r>
        <w:t>cathodic</w:t>
      </w:r>
      <w:proofErr w:type="spellEnd"/>
      <w:r>
        <w:t xml:space="preserve"> protection as specified in NFPA 30 2-3.3 (1981). </w:t>
      </w:r>
    </w:p>
    <w:p w:rsidR="00277932" w:rsidRDefault="00277932" w:rsidP="00B11DEB">
      <w:pPr>
        <w:widowControl w:val="0"/>
        <w:autoSpaceDE w:val="0"/>
        <w:autoSpaceDN w:val="0"/>
        <w:adjustRightInd w:val="0"/>
        <w:ind w:left="1440" w:hanging="720"/>
      </w:pPr>
    </w:p>
    <w:p w:rsidR="00B11DEB" w:rsidRDefault="00B11DEB" w:rsidP="00B11DEB">
      <w:pPr>
        <w:widowControl w:val="0"/>
        <w:autoSpaceDE w:val="0"/>
        <w:autoSpaceDN w:val="0"/>
        <w:adjustRightInd w:val="0"/>
        <w:ind w:left="1440" w:hanging="720"/>
      </w:pPr>
      <w:r>
        <w:t>c)</w:t>
      </w:r>
      <w:r>
        <w:tab/>
        <w:t xml:space="preserve">Underground steel tanks built to Steel Tank Institute Standard P3, (1982) are approved provided that they are installed according to the manufacturer's specifications. </w:t>
      </w:r>
    </w:p>
    <w:p w:rsidR="00277932" w:rsidRDefault="00277932" w:rsidP="00B11DEB">
      <w:pPr>
        <w:widowControl w:val="0"/>
        <w:autoSpaceDE w:val="0"/>
        <w:autoSpaceDN w:val="0"/>
        <w:adjustRightInd w:val="0"/>
        <w:ind w:left="1440" w:hanging="720"/>
      </w:pPr>
    </w:p>
    <w:p w:rsidR="00B11DEB" w:rsidRDefault="00B11DEB" w:rsidP="00B11DEB">
      <w:pPr>
        <w:widowControl w:val="0"/>
        <w:autoSpaceDE w:val="0"/>
        <w:autoSpaceDN w:val="0"/>
        <w:adjustRightInd w:val="0"/>
        <w:ind w:left="1440" w:hanging="720"/>
      </w:pPr>
      <w:r>
        <w:t>d)</w:t>
      </w:r>
      <w:r>
        <w:tab/>
        <w:t xml:space="preserve">Underground non-metallic tanks are approved providing they are installed according to the manufacturer's instructions, and are listed by Underwriters Laboratories or meet the criteria of UL 1316 (1983). </w:t>
      </w:r>
    </w:p>
    <w:p w:rsidR="00277932" w:rsidRDefault="00277932" w:rsidP="00B11DEB">
      <w:pPr>
        <w:widowControl w:val="0"/>
        <w:autoSpaceDE w:val="0"/>
        <w:autoSpaceDN w:val="0"/>
        <w:adjustRightInd w:val="0"/>
        <w:ind w:left="1440" w:hanging="720"/>
      </w:pPr>
    </w:p>
    <w:p w:rsidR="00B11DEB" w:rsidRDefault="00B11DEB" w:rsidP="00B11DEB">
      <w:pPr>
        <w:widowControl w:val="0"/>
        <w:autoSpaceDE w:val="0"/>
        <w:autoSpaceDN w:val="0"/>
        <w:adjustRightInd w:val="0"/>
        <w:ind w:left="1440" w:hanging="720"/>
      </w:pPr>
      <w:r>
        <w:t>e)</w:t>
      </w:r>
      <w:r>
        <w:tab/>
        <w:t xml:space="preserve">The diameter of all non-metal tanks shall be measured before and after back-filling.  If deflection of the tank exceeds the following table, then the State Fire Marshal and the manufacturer of the tank shall be notified prior to its being placed in use.  (Excessive deflection of tank may cause cracking or may cause suction lines to penetrate the bottom of the tank.) </w:t>
      </w:r>
    </w:p>
    <w:p w:rsidR="00B11DEB" w:rsidRDefault="00B11DEB" w:rsidP="00B11DEB">
      <w:pPr>
        <w:widowControl w:val="0"/>
        <w:autoSpaceDE w:val="0"/>
        <w:autoSpaceDN w:val="0"/>
        <w:adjustRightInd w:val="0"/>
        <w:ind w:left="1440" w:hanging="720"/>
      </w:pPr>
    </w:p>
    <w:tbl>
      <w:tblPr>
        <w:tblW w:w="0" w:type="auto"/>
        <w:tblInd w:w="2817"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736"/>
        <w:gridCol w:w="3192"/>
      </w:tblGrid>
      <w:tr w:rsidR="00B11DEB">
        <w:tblPrEx>
          <w:tblCellMar>
            <w:top w:w="0" w:type="dxa"/>
            <w:bottom w:w="0" w:type="dxa"/>
          </w:tblCellMar>
        </w:tblPrEx>
        <w:trPr>
          <w:trHeight w:val="447"/>
        </w:trPr>
        <w:tc>
          <w:tcPr>
            <w:tcW w:w="2736" w:type="dxa"/>
            <w:tcBorders>
              <w:top w:val="nil"/>
              <w:left w:val="nil"/>
              <w:bottom w:val="nil"/>
              <w:right w:val="nil"/>
            </w:tcBorders>
          </w:tcPr>
          <w:p w:rsidR="00B11DEB" w:rsidRDefault="00B11DEB" w:rsidP="00ED59CD">
            <w:pPr>
              <w:widowControl w:val="0"/>
              <w:autoSpaceDE w:val="0"/>
              <w:autoSpaceDN w:val="0"/>
              <w:adjustRightInd w:val="0"/>
              <w:jc w:val="center"/>
            </w:pPr>
            <w:r>
              <w:t>Tank Diameter</w:t>
            </w:r>
          </w:p>
        </w:tc>
        <w:tc>
          <w:tcPr>
            <w:tcW w:w="3192" w:type="dxa"/>
            <w:tcBorders>
              <w:top w:val="nil"/>
              <w:left w:val="nil"/>
              <w:bottom w:val="nil"/>
              <w:right w:val="nil"/>
            </w:tcBorders>
          </w:tcPr>
          <w:p w:rsidR="00B11DEB" w:rsidRDefault="00B11DEB" w:rsidP="00ED59CD">
            <w:pPr>
              <w:widowControl w:val="0"/>
              <w:autoSpaceDE w:val="0"/>
              <w:autoSpaceDN w:val="0"/>
              <w:adjustRightInd w:val="0"/>
              <w:jc w:val="center"/>
            </w:pPr>
            <w:r>
              <w:t>Maximum Deflection</w:t>
            </w:r>
          </w:p>
        </w:tc>
      </w:tr>
      <w:tr w:rsidR="00ED59CD">
        <w:tblPrEx>
          <w:tblCellMar>
            <w:top w:w="0" w:type="dxa"/>
            <w:bottom w:w="0" w:type="dxa"/>
          </w:tblCellMar>
        </w:tblPrEx>
        <w:tc>
          <w:tcPr>
            <w:tcW w:w="2736" w:type="dxa"/>
            <w:tcBorders>
              <w:top w:val="nil"/>
              <w:left w:val="nil"/>
              <w:bottom w:val="nil"/>
              <w:right w:val="nil"/>
            </w:tcBorders>
          </w:tcPr>
          <w:p w:rsidR="00ED59CD" w:rsidRDefault="00ED59CD" w:rsidP="00ED59CD">
            <w:pPr>
              <w:widowControl w:val="0"/>
              <w:autoSpaceDE w:val="0"/>
              <w:autoSpaceDN w:val="0"/>
              <w:adjustRightInd w:val="0"/>
              <w:jc w:val="center"/>
            </w:pPr>
            <w:r>
              <w:t xml:space="preserve"> 6 ft.</w:t>
            </w:r>
          </w:p>
        </w:tc>
        <w:tc>
          <w:tcPr>
            <w:tcW w:w="3192" w:type="dxa"/>
            <w:tcBorders>
              <w:top w:val="nil"/>
              <w:left w:val="nil"/>
              <w:bottom w:val="nil"/>
              <w:right w:val="nil"/>
            </w:tcBorders>
          </w:tcPr>
          <w:p w:rsidR="00ED59CD" w:rsidRDefault="00ED59CD" w:rsidP="00ED59CD">
            <w:pPr>
              <w:widowControl w:val="0"/>
              <w:autoSpaceDE w:val="0"/>
              <w:autoSpaceDN w:val="0"/>
              <w:adjustRightInd w:val="0"/>
              <w:jc w:val="center"/>
            </w:pPr>
            <w:r>
              <w:t xml:space="preserve">  ⅝ inch</w:t>
            </w:r>
          </w:p>
        </w:tc>
      </w:tr>
      <w:tr w:rsidR="00ED59CD">
        <w:tblPrEx>
          <w:tblCellMar>
            <w:top w:w="0" w:type="dxa"/>
            <w:bottom w:w="0" w:type="dxa"/>
          </w:tblCellMar>
        </w:tblPrEx>
        <w:tc>
          <w:tcPr>
            <w:tcW w:w="2736" w:type="dxa"/>
            <w:tcBorders>
              <w:top w:val="nil"/>
              <w:left w:val="nil"/>
              <w:bottom w:val="nil"/>
              <w:right w:val="nil"/>
            </w:tcBorders>
          </w:tcPr>
          <w:p w:rsidR="00ED59CD" w:rsidRDefault="00ED59CD" w:rsidP="00ED59CD">
            <w:pPr>
              <w:widowControl w:val="0"/>
              <w:autoSpaceDE w:val="0"/>
              <w:autoSpaceDN w:val="0"/>
              <w:adjustRightInd w:val="0"/>
              <w:jc w:val="center"/>
            </w:pPr>
            <w:r>
              <w:t xml:space="preserve"> 8 ft.</w:t>
            </w:r>
          </w:p>
        </w:tc>
        <w:tc>
          <w:tcPr>
            <w:tcW w:w="3192" w:type="dxa"/>
            <w:tcBorders>
              <w:top w:val="nil"/>
              <w:left w:val="nil"/>
              <w:bottom w:val="nil"/>
              <w:right w:val="nil"/>
            </w:tcBorders>
          </w:tcPr>
          <w:p w:rsidR="00ED59CD" w:rsidRDefault="00ED59CD" w:rsidP="00ED59CD">
            <w:pPr>
              <w:widowControl w:val="0"/>
              <w:autoSpaceDE w:val="0"/>
              <w:autoSpaceDN w:val="0"/>
              <w:adjustRightInd w:val="0"/>
              <w:jc w:val="center"/>
            </w:pPr>
            <w:r>
              <w:t>1 ¼ inch</w:t>
            </w:r>
          </w:p>
        </w:tc>
      </w:tr>
      <w:tr w:rsidR="00ED59CD">
        <w:tblPrEx>
          <w:tblCellMar>
            <w:top w:w="0" w:type="dxa"/>
            <w:bottom w:w="0" w:type="dxa"/>
          </w:tblCellMar>
        </w:tblPrEx>
        <w:tc>
          <w:tcPr>
            <w:tcW w:w="2736" w:type="dxa"/>
            <w:tcBorders>
              <w:top w:val="nil"/>
              <w:left w:val="nil"/>
              <w:bottom w:val="nil"/>
              <w:right w:val="nil"/>
            </w:tcBorders>
          </w:tcPr>
          <w:p w:rsidR="00ED59CD" w:rsidRDefault="00ED59CD" w:rsidP="00ED59CD">
            <w:pPr>
              <w:widowControl w:val="0"/>
              <w:autoSpaceDE w:val="0"/>
              <w:autoSpaceDN w:val="0"/>
              <w:adjustRightInd w:val="0"/>
              <w:jc w:val="center"/>
            </w:pPr>
            <w:r>
              <w:t>10 ft.</w:t>
            </w:r>
          </w:p>
        </w:tc>
        <w:tc>
          <w:tcPr>
            <w:tcW w:w="3192" w:type="dxa"/>
            <w:tcBorders>
              <w:top w:val="nil"/>
              <w:left w:val="nil"/>
              <w:bottom w:val="nil"/>
              <w:right w:val="nil"/>
            </w:tcBorders>
          </w:tcPr>
          <w:p w:rsidR="00ED59CD" w:rsidRDefault="00ED59CD" w:rsidP="00ED59CD">
            <w:pPr>
              <w:widowControl w:val="0"/>
              <w:autoSpaceDE w:val="0"/>
              <w:autoSpaceDN w:val="0"/>
              <w:adjustRightInd w:val="0"/>
              <w:jc w:val="center"/>
            </w:pPr>
            <w:r>
              <w:t>1 ½ inch</w:t>
            </w:r>
          </w:p>
        </w:tc>
      </w:tr>
      <w:tr w:rsidR="00ED59CD">
        <w:tblPrEx>
          <w:tblCellMar>
            <w:top w:w="0" w:type="dxa"/>
            <w:bottom w:w="0" w:type="dxa"/>
          </w:tblCellMar>
        </w:tblPrEx>
        <w:tc>
          <w:tcPr>
            <w:tcW w:w="2736" w:type="dxa"/>
            <w:tcBorders>
              <w:top w:val="nil"/>
              <w:left w:val="nil"/>
              <w:bottom w:val="nil"/>
              <w:right w:val="nil"/>
            </w:tcBorders>
          </w:tcPr>
          <w:p w:rsidR="00ED59CD" w:rsidRDefault="00ED59CD" w:rsidP="00ED59CD">
            <w:pPr>
              <w:widowControl w:val="0"/>
              <w:autoSpaceDE w:val="0"/>
              <w:autoSpaceDN w:val="0"/>
              <w:adjustRightInd w:val="0"/>
              <w:jc w:val="center"/>
            </w:pPr>
            <w:r>
              <w:t>12 ft.</w:t>
            </w:r>
          </w:p>
        </w:tc>
        <w:tc>
          <w:tcPr>
            <w:tcW w:w="3192" w:type="dxa"/>
            <w:tcBorders>
              <w:top w:val="nil"/>
              <w:left w:val="nil"/>
              <w:bottom w:val="nil"/>
              <w:right w:val="nil"/>
            </w:tcBorders>
          </w:tcPr>
          <w:p w:rsidR="00ED59CD" w:rsidRDefault="00ED59CD" w:rsidP="00ED59CD">
            <w:pPr>
              <w:widowControl w:val="0"/>
              <w:autoSpaceDE w:val="0"/>
              <w:autoSpaceDN w:val="0"/>
              <w:adjustRightInd w:val="0"/>
              <w:jc w:val="center"/>
            </w:pPr>
            <w:r>
              <w:t>1 ½ inch</w:t>
            </w:r>
          </w:p>
        </w:tc>
      </w:tr>
    </w:tbl>
    <w:p w:rsidR="00B11DEB" w:rsidRDefault="00B11DEB" w:rsidP="00B11DEB">
      <w:pPr>
        <w:widowControl w:val="0"/>
        <w:autoSpaceDE w:val="0"/>
        <w:autoSpaceDN w:val="0"/>
        <w:adjustRightInd w:val="0"/>
        <w:ind w:left="1440" w:hanging="720"/>
      </w:pPr>
    </w:p>
    <w:p w:rsidR="00B11DEB" w:rsidRDefault="00B11DEB" w:rsidP="00B11DEB">
      <w:pPr>
        <w:widowControl w:val="0"/>
        <w:autoSpaceDE w:val="0"/>
        <w:autoSpaceDN w:val="0"/>
        <w:adjustRightInd w:val="0"/>
        <w:ind w:left="1440" w:hanging="720"/>
      </w:pPr>
      <w:r>
        <w:t>f)</w:t>
      </w:r>
      <w:r>
        <w:tab/>
        <w:t xml:space="preserve">During cold weather frozen back-fill must not be used and chunks of ice must not be permitted to be included in the back-fill for non-metallic tanks. </w:t>
      </w:r>
    </w:p>
    <w:p w:rsidR="00277932" w:rsidRDefault="00277932" w:rsidP="00B11DEB">
      <w:pPr>
        <w:widowControl w:val="0"/>
        <w:autoSpaceDE w:val="0"/>
        <w:autoSpaceDN w:val="0"/>
        <w:adjustRightInd w:val="0"/>
        <w:ind w:left="1440" w:hanging="720"/>
      </w:pPr>
    </w:p>
    <w:p w:rsidR="00B11DEB" w:rsidRDefault="00ED59CD" w:rsidP="00B11DEB">
      <w:pPr>
        <w:widowControl w:val="0"/>
        <w:autoSpaceDE w:val="0"/>
        <w:autoSpaceDN w:val="0"/>
        <w:adjustRightInd w:val="0"/>
        <w:ind w:left="1440" w:hanging="720"/>
      </w:pPr>
      <w:r>
        <w:t>g)</w:t>
      </w:r>
      <w:r w:rsidR="00B11DEB">
        <w:tab/>
        <w:t xml:space="preserve">All pipe connections shall be made through flanges or reinforcements securely riveted, welded or bolted to the tank and shall be made tight. </w:t>
      </w:r>
    </w:p>
    <w:p w:rsidR="00277932" w:rsidRDefault="00277932" w:rsidP="00B11DEB">
      <w:pPr>
        <w:widowControl w:val="0"/>
        <w:autoSpaceDE w:val="0"/>
        <w:autoSpaceDN w:val="0"/>
        <w:adjustRightInd w:val="0"/>
        <w:ind w:left="1440" w:hanging="720"/>
      </w:pPr>
    </w:p>
    <w:p w:rsidR="00B11DEB" w:rsidRDefault="00B11DEB" w:rsidP="00B11DEB">
      <w:pPr>
        <w:widowControl w:val="0"/>
        <w:autoSpaceDE w:val="0"/>
        <w:autoSpaceDN w:val="0"/>
        <w:adjustRightInd w:val="0"/>
        <w:ind w:left="1440" w:hanging="720"/>
      </w:pPr>
      <w:r>
        <w:t>h)</w:t>
      </w:r>
      <w:r>
        <w:tab/>
        <w:t xml:space="preserve">All openings shall be made liquid and vapor tight, except breather vents. Gaskets used shall be such as are not affected by heat or the contents of tanks. </w:t>
      </w:r>
    </w:p>
    <w:p w:rsidR="00277932" w:rsidRDefault="00277932" w:rsidP="00B11DEB">
      <w:pPr>
        <w:widowControl w:val="0"/>
        <w:autoSpaceDE w:val="0"/>
        <w:autoSpaceDN w:val="0"/>
        <w:adjustRightInd w:val="0"/>
        <w:ind w:left="1440" w:hanging="720"/>
      </w:pPr>
    </w:p>
    <w:p w:rsidR="00B11DEB" w:rsidRDefault="00B11DEB" w:rsidP="00B11DEB">
      <w:pPr>
        <w:widowControl w:val="0"/>
        <w:autoSpaceDE w:val="0"/>
        <w:autoSpaceDN w:val="0"/>
        <w:adjustRightInd w:val="0"/>
        <w:ind w:left="1440" w:hanging="720"/>
      </w:pPr>
      <w:proofErr w:type="spellStart"/>
      <w:r>
        <w:t>i</w:t>
      </w:r>
      <w:proofErr w:type="spellEnd"/>
      <w:r>
        <w:t>)</w:t>
      </w:r>
      <w:r>
        <w:tab/>
        <w:t xml:space="preserve">Covers for manholes, </w:t>
      </w:r>
      <w:proofErr w:type="spellStart"/>
      <w:r>
        <w:t>handholes</w:t>
      </w:r>
      <w:proofErr w:type="spellEnd"/>
      <w:r>
        <w:t xml:space="preserve"> and gauge holes shall be made tight fitting and normally kept in place. </w:t>
      </w:r>
    </w:p>
    <w:p w:rsidR="00277932" w:rsidRDefault="00277932" w:rsidP="00B11DEB">
      <w:pPr>
        <w:widowControl w:val="0"/>
        <w:autoSpaceDE w:val="0"/>
        <w:autoSpaceDN w:val="0"/>
        <w:adjustRightInd w:val="0"/>
        <w:ind w:left="1440" w:hanging="720"/>
      </w:pPr>
    </w:p>
    <w:p w:rsidR="00B11DEB" w:rsidRDefault="00B11DEB" w:rsidP="00B11DEB">
      <w:pPr>
        <w:widowControl w:val="0"/>
        <w:autoSpaceDE w:val="0"/>
        <w:autoSpaceDN w:val="0"/>
        <w:adjustRightInd w:val="0"/>
        <w:ind w:left="1440" w:hanging="720"/>
      </w:pPr>
      <w:r>
        <w:t>j)</w:t>
      </w:r>
      <w:r>
        <w:tab/>
        <w:t xml:space="preserve">If tanks are horizontal, unprotected steel supports will not be accepted.  Steel </w:t>
      </w:r>
      <w:r>
        <w:lastRenderedPageBreak/>
        <w:t xml:space="preserve">supports shall be protected from oxidation. </w:t>
      </w:r>
    </w:p>
    <w:p w:rsidR="00B11DEB" w:rsidRDefault="00B11DEB" w:rsidP="00B11DEB">
      <w:pPr>
        <w:widowControl w:val="0"/>
        <w:autoSpaceDE w:val="0"/>
        <w:autoSpaceDN w:val="0"/>
        <w:adjustRightInd w:val="0"/>
        <w:ind w:left="1440" w:hanging="720"/>
      </w:pPr>
    </w:p>
    <w:p w:rsidR="00B11DEB" w:rsidRDefault="00B11DEB" w:rsidP="00B11DEB">
      <w:pPr>
        <w:widowControl w:val="0"/>
        <w:autoSpaceDE w:val="0"/>
        <w:autoSpaceDN w:val="0"/>
        <w:adjustRightInd w:val="0"/>
        <w:ind w:left="1440" w:hanging="720"/>
      </w:pPr>
      <w:r>
        <w:t xml:space="preserve">(Source:  Amended at 9 Ill. Reg. 10012, effective October 1, 1985) </w:t>
      </w:r>
    </w:p>
    <w:sectPr w:rsidR="00B11DEB" w:rsidSect="00B11D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1DEB"/>
    <w:rsid w:val="000E696F"/>
    <w:rsid w:val="00277932"/>
    <w:rsid w:val="005C3366"/>
    <w:rsid w:val="00B11DEB"/>
    <w:rsid w:val="00BA3DFF"/>
    <w:rsid w:val="00CC37F0"/>
    <w:rsid w:val="00E80BB9"/>
    <w:rsid w:val="00ED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