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74" w:rsidRDefault="00A93C74" w:rsidP="00A93C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C74" w:rsidRDefault="00A93C74" w:rsidP="00A93C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160.60  Location of Tanks </w:t>
      </w:r>
      <w:r w:rsidR="00F77568">
        <w:rPr>
          <w:b/>
          <w:bCs/>
        </w:rPr>
        <w:t>–</w:t>
      </w:r>
      <w:r>
        <w:rPr>
          <w:b/>
          <w:bCs/>
        </w:rPr>
        <w:t xml:space="preserve"> Streams</w:t>
      </w:r>
      <w:r>
        <w:t xml:space="preserve"> </w:t>
      </w:r>
    </w:p>
    <w:p w:rsidR="00A93C74" w:rsidRDefault="00A93C74" w:rsidP="00A93C74">
      <w:pPr>
        <w:widowControl w:val="0"/>
        <w:autoSpaceDE w:val="0"/>
        <w:autoSpaceDN w:val="0"/>
        <w:adjustRightInd w:val="0"/>
      </w:pPr>
    </w:p>
    <w:p w:rsidR="00A93C74" w:rsidRDefault="00A93C74" w:rsidP="00A93C74">
      <w:pPr>
        <w:widowControl w:val="0"/>
        <w:autoSpaceDE w:val="0"/>
        <w:autoSpaceDN w:val="0"/>
        <w:adjustRightInd w:val="0"/>
      </w:pPr>
      <w:r>
        <w:t xml:space="preserve">When tanks are located within 300 feet of a stream they shall be diked in conformity with Section 160.200. Existing facilities shall be brought into compliance with this rule within one year of the effective date of this rule. </w:t>
      </w:r>
    </w:p>
    <w:p w:rsidR="00A93C74" w:rsidRDefault="00A93C74" w:rsidP="00A93C74">
      <w:pPr>
        <w:widowControl w:val="0"/>
        <w:autoSpaceDE w:val="0"/>
        <w:autoSpaceDN w:val="0"/>
        <w:adjustRightInd w:val="0"/>
      </w:pPr>
    </w:p>
    <w:p w:rsidR="00A93C74" w:rsidRDefault="00A93C74" w:rsidP="00A93C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A93C74" w:rsidSect="00A93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C74"/>
    <w:rsid w:val="005C3366"/>
    <w:rsid w:val="00A93C74"/>
    <w:rsid w:val="00BA3F3C"/>
    <w:rsid w:val="00C600BB"/>
    <w:rsid w:val="00F77568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