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39" w:rsidRDefault="00490439" w:rsidP="004904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0439" w:rsidRDefault="00490439" w:rsidP="0049043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1075.2115  Application</w:t>
      </w:r>
      <w:proofErr w:type="gramEnd"/>
      <w:r>
        <w:rPr>
          <w:b/>
          <w:bCs/>
        </w:rPr>
        <w:t xml:space="preserve"> to Furnish Information</w:t>
      </w:r>
      <w:r>
        <w:t xml:space="preserve"> </w:t>
      </w:r>
    </w:p>
    <w:p w:rsidR="00490439" w:rsidRDefault="00490439" w:rsidP="00490439">
      <w:pPr>
        <w:widowControl w:val="0"/>
        <w:autoSpaceDE w:val="0"/>
        <w:autoSpaceDN w:val="0"/>
        <w:adjustRightInd w:val="0"/>
      </w:pPr>
    </w:p>
    <w:p w:rsidR="00490439" w:rsidRDefault="00490439" w:rsidP="00490439">
      <w:pPr>
        <w:widowControl w:val="0"/>
        <w:autoSpaceDE w:val="0"/>
        <w:autoSpaceDN w:val="0"/>
        <w:adjustRightInd w:val="0"/>
      </w:pPr>
      <w:r>
        <w:t xml:space="preserve">Every application shall furnish information in accordance with this Subpart. If applicable, the applicant shall furnish information in accordance with Section 1075.1700. </w:t>
      </w:r>
    </w:p>
    <w:p w:rsidR="00490439" w:rsidRDefault="00490439" w:rsidP="00490439">
      <w:pPr>
        <w:widowControl w:val="0"/>
        <w:autoSpaceDE w:val="0"/>
        <w:autoSpaceDN w:val="0"/>
        <w:adjustRightInd w:val="0"/>
      </w:pPr>
    </w:p>
    <w:p w:rsidR="00490439" w:rsidRDefault="00490439" w:rsidP="004904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8894, effective June 7, 1993) </w:t>
      </w:r>
    </w:p>
    <w:sectPr w:rsidR="00490439" w:rsidSect="004904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439"/>
    <w:rsid w:val="00202C28"/>
    <w:rsid w:val="00490439"/>
    <w:rsid w:val="005C3366"/>
    <w:rsid w:val="00A42306"/>
    <w:rsid w:val="00DD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