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DC" w:rsidRDefault="006238DC" w:rsidP="006238DC">
      <w:pPr>
        <w:widowControl w:val="0"/>
        <w:autoSpaceDE w:val="0"/>
        <w:autoSpaceDN w:val="0"/>
        <w:adjustRightInd w:val="0"/>
      </w:pPr>
      <w:bookmarkStart w:id="0" w:name="_GoBack"/>
      <w:bookmarkEnd w:id="0"/>
    </w:p>
    <w:p w:rsidR="006238DC" w:rsidRDefault="006238DC" w:rsidP="006238DC">
      <w:pPr>
        <w:widowControl w:val="0"/>
        <w:autoSpaceDE w:val="0"/>
        <w:autoSpaceDN w:val="0"/>
        <w:adjustRightInd w:val="0"/>
      </w:pPr>
      <w:r>
        <w:rPr>
          <w:b/>
          <w:bCs/>
        </w:rPr>
        <w:t>Section 1075.1290  Annual Audit Requirements</w:t>
      </w:r>
      <w:r>
        <w:t xml:space="preserve"> </w:t>
      </w:r>
    </w:p>
    <w:p w:rsidR="006238DC" w:rsidRDefault="006238DC" w:rsidP="006238DC">
      <w:pPr>
        <w:widowControl w:val="0"/>
        <w:autoSpaceDE w:val="0"/>
        <w:autoSpaceDN w:val="0"/>
        <w:adjustRightInd w:val="0"/>
      </w:pPr>
    </w:p>
    <w:p w:rsidR="006238DC" w:rsidRDefault="006238DC" w:rsidP="006238DC">
      <w:pPr>
        <w:widowControl w:val="0"/>
        <w:autoSpaceDE w:val="0"/>
        <w:autoSpaceDN w:val="0"/>
        <w:adjustRightInd w:val="0"/>
      </w:pPr>
      <w:r>
        <w:t xml:space="preserve">Every holding company shall cause its books and records to be audited at least once annually by an independent licensed public accountant. The </w:t>
      </w:r>
      <w:r w:rsidR="00FB026F">
        <w:t xml:space="preserve">Director </w:t>
      </w:r>
      <w:r>
        <w:t xml:space="preserve">shall receive a copy of the licensed public accountant's annual audit report, along with all supporting documentation. The report of audit shall be on a consolidated basis unless, in the auditor's opinion, certain subsidiaries or parent entities should be reported on separately. If separate reports are prepared, they should be prepared on the same basis as the report on the holding company. </w:t>
      </w:r>
    </w:p>
    <w:p w:rsidR="006238DC" w:rsidRDefault="006238DC" w:rsidP="006238DC">
      <w:pPr>
        <w:widowControl w:val="0"/>
        <w:autoSpaceDE w:val="0"/>
        <w:autoSpaceDN w:val="0"/>
        <w:adjustRightInd w:val="0"/>
      </w:pPr>
    </w:p>
    <w:p w:rsidR="00C87BAE" w:rsidRPr="00D55B37" w:rsidRDefault="00C87BAE">
      <w:pPr>
        <w:pStyle w:val="JCARSourceNote"/>
        <w:ind w:left="720"/>
      </w:pPr>
      <w:r w:rsidRPr="00D55B37">
        <w:t xml:space="preserve">(Source:  </w:t>
      </w:r>
      <w:r>
        <w:t>Amended</w:t>
      </w:r>
      <w:r w:rsidRPr="00D55B37">
        <w:t xml:space="preserve"> at </w:t>
      </w:r>
      <w:r>
        <w:t>30 I</w:t>
      </w:r>
      <w:r w:rsidRPr="00D55B37">
        <w:t xml:space="preserve">ll. Reg. </w:t>
      </w:r>
      <w:r w:rsidR="00583812">
        <w:t>19068</w:t>
      </w:r>
      <w:r w:rsidRPr="00D55B37">
        <w:t xml:space="preserve">, effective </w:t>
      </w:r>
      <w:r w:rsidR="00583812">
        <w:t>December 1, 2006</w:t>
      </w:r>
      <w:r w:rsidRPr="00D55B37">
        <w:t>)</w:t>
      </w:r>
    </w:p>
    <w:sectPr w:rsidR="00C87BAE" w:rsidRPr="00D55B37" w:rsidSect="006238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8DC"/>
    <w:rsid w:val="00201F28"/>
    <w:rsid w:val="00583812"/>
    <w:rsid w:val="005C3366"/>
    <w:rsid w:val="006238DC"/>
    <w:rsid w:val="008051CF"/>
    <w:rsid w:val="00810A72"/>
    <w:rsid w:val="00C87BAE"/>
    <w:rsid w:val="00EC765B"/>
    <w:rsid w:val="00FB0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7B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7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