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0C" w:rsidRDefault="00F2080C" w:rsidP="00F2080C">
      <w:pPr>
        <w:widowControl w:val="0"/>
        <w:autoSpaceDE w:val="0"/>
        <w:autoSpaceDN w:val="0"/>
        <w:adjustRightInd w:val="0"/>
      </w:pPr>
      <w:bookmarkStart w:id="0" w:name="_GoBack"/>
      <w:bookmarkEnd w:id="0"/>
    </w:p>
    <w:p w:rsidR="00F2080C" w:rsidRDefault="00F2080C" w:rsidP="00F2080C">
      <w:pPr>
        <w:widowControl w:val="0"/>
        <w:autoSpaceDE w:val="0"/>
        <w:autoSpaceDN w:val="0"/>
        <w:adjustRightInd w:val="0"/>
      </w:pPr>
      <w:r>
        <w:rPr>
          <w:b/>
          <w:bCs/>
        </w:rPr>
        <w:t xml:space="preserve">Section 1075.460  Bond of Officers, </w:t>
      </w:r>
      <w:r w:rsidR="00C83ABA">
        <w:rPr>
          <w:b/>
          <w:bCs/>
        </w:rPr>
        <w:t xml:space="preserve">Organization </w:t>
      </w:r>
      <w:r>
        <w:rPr>
          <w:b/>
          <w:bCs/>
        </w:rPr>
        <w:t>Directors, Employees and Agents</w:t>
      </w:r>
      <w:r>
        <w:t xml:space="preserve"> </w:t>
      </w:r>
    </w:p>
    <w:p w:rsidR="00F2080C" w:rsidRDefault="00F2080C" w:rsidP="00F2080C">
      <w:pPr>
        <w:widowControl w:val="0"/>
        <w:autoSpaceDE w:val="0"/>
        <w:autoSpaceDN w:val="0"/>
        <w:adjustRightInd w:val="0"/>
      </w:pPr>
    </w:p>
    <w:p w:rsidR="00F2080C" w:rsidRDefault="00F2080C" w:rsidP="00F2080C">
      <w:pPr>
        <w:widowControl w:val="0"/>
        <w:autoSpaceDE w:val="0"/>
        <w:autoSpaceDN w:val="0"/>
        <w:adjustRightInd w:val="0"/>
      </w:pPr>
      <w:r>
        <w:t xml:space="preserve">Every savings bank shall maintain bond coverage with a bonding company acceptable to the </w:t>
      </w:r>
      <w:r w:rsidR="000A2FD9">
        <w:t>Director</w:t>
      </w:r>
      <w:r>
        <w:t xml:space="preserve"> for every officer, </w:t>
      </w:r>
      <w:r w:rsidR="00C83ABA">
        <w:t xml:space="preserve">organization </w:t>
      </w:r>
      <w:r>
        <w:t xml:space="preserve">director, employee and agent of the savings bank or such other persons in positions requiring the receipt, payment, management or use of money belonging to the savings bank or whose duties permit or require access to or custody of a savings bank's assets or require the making of entries on the books and records of the savings bank. </w:t>
      </w:r>
    </w:p>
    <w:p w:rsidR="00691394" w:rsidRDefault="00691394" w:rsidP="00F2080C">
      <w:pPr>
        <w:widowControl w:val="0"/>
        <w:autoSpaceDE w:val="0"/>
        <w:autoSpaceDN w:val="0"/>
        <w:adjustRightInd w:val="0"/>
      </w:pPr>
    </w:p>
    <w:p w:rsidR="00F2080C" w:rsidRDefault="00F2080C" w:rsidP="00F2080C">
      <w:pPr>
        <w:widowControl w:val="0"/>
        <w:autoSpaceDE w:val="0"/>
        <w:autoSpaceDN w:val="0"/>
        <w:adjustRightInd w:val="0"/>
        <w:ind w:left="1440" w:hanging="720"/>
      </w:pPr>
      <w:r>
        <w:t>a)</w:t>
      </w:r>
      <w:r>
        <w:tab/>
        <w:t xml:space="preserve">Bond Schedule. The minimum amount of bond shall be based on total consolidated assets of the savings bank and its subsidiaries in accordance with the following schedule: </w:t>
      </w:r>
    </w:p>
    <w:p w:rsidR="00DC7C05" w:rsidRDefault="00DC7C05" w:rsidP="00DC7C05">
      <w:pPr>
        <w:widowControl w:val="0"/>
        <w:autoSpaceDE w:val="0"/>
        <w:autoSpaceDN w:val="0"/>
        <w:adjustRightInd w:val="0"/>
      </w:pPr>
    </w:p>
    <w:tbl>
      <w:tblPr>
        <w:tblW w:w="0" w:type="auto"/>
        <w:tblInd w:w="1978" w:type="dxa"/>
        <w:tblLook w:val="0000" w:firstRow="0" w:lastRow="0" w:firstColumn="0" w:lastColumn="0" w:noHBand="0" w:noVBand="0"/>
      </w:tblPr>
      <w:tblGrid>
        <w:gridCol w:w="3366"/>
        <w:gridCol w:w="3927"/>
      </w:tblGrid>
      <w:tr w:rsidR="00DC7C05">
        <w:tblPrEx>
          <w:tblCellMar>
            <w:top w:w="0" w:type="dxa"/>
            <w:bottom w:w="0" w:type="dxa"/>
          </w:tblCellMar>
        </w:tblPrEx>
        <w:trPr>
          <w:trHeight w:val="570"/>
        </w:trPr>
        <w:tc>
          <w:tcPr>
            <w:tcW w:w="3366" w:type="dxa"/>
          </w:tcPr>
          <w:p w:rsidR="00DC7C05" w:rsidRPr="00D015F4" w:rsidRDefault="00DC7C05" w:rsidP="00F94B9E">
            <w:pPr>
              <w:widowControl w:val="0"/>
              <w:autoSpaceDE w:val="0"/>
              <w:autoSpaceDN w:val="0"/>
              <w:adjustRightInd w:val="0"/>
              <w:rPr>
                <w:u w:val="single"/>
              </w:rPr>
            </w:pPr>
            <w:r>
              <w:rPr>
                <w:u w:val="single"/>
              </w:rPr>
              <w:t>Total Assets</w:t>
            </w:r>
          </w:p>
        </w:tc>
        <w:tc>
          <w:tcPr>
            <w:tcW w:w="3927" w:type="dxa"/>
          </w:tcPr>
          <w:p w:rsidR="00DC7C05" w:rsidRPr="00D015F4" w:rsidRDefault="00DC7C05" w:rsidP="00F94B9E">
            <w:pPr>
              <w:widowControl w:val="0"/>
              <w:autoSpaceDE w:val="0"/>
              <w:autoSpaceDN w:val="0"/>
              <w:adjustRightInd w:val="0"/>
              <w:rPr>
                <w:u w:val="single"/>
              </w:rPr>
            </w:pPr>
            <w:r>
              <w:rPr>
                <w:u w:val="single"/>
              </w:rPr>
              <w:t>Minimum Coverage</w:t>
            </w:r>
          </w:p>
        </w:tc>
      </w:tr>
      <w:tr w:rsidR="00DC7C05">
        <w:tblPrEx>
          <w:tblCellMar>
            <w:top w:w="0" w:type="dxa"/>
            <w:bottom w:w="0" w:type="dxa"/>
          </w:tblCellMar>
        </w:tblPrEx>
        <w:trPr>
          <w:trHeight w:val="432"/>
        </w:trPr>
        <w:tc>
          <w:tcPr>
            <w:tcW w:w="3366" w:type="dxa"/>
          </w:tcPr>
          <w:p w:rsidR="00DC7C05" w:rsidRDefault="00DC7C05" w:rsidP="00F94B9E">
            <w:pPr>
              <w:widowControl w:val="0"/>
              <w:autoSpaceDE w:val="0"/>
              <w:autoSpaceDN w:val="0"/>
              <w:adjustRightInd w:val="0"/>
            </w:pPr>
            <w:r>
              <w:t>Less than $1,000,000</w:t>
            </w:r>
          </w:p>
        </w:tc>
        <w:tc>
          <w:tcPr>
            <w:tcW w:w="3927" w:type="dxa"/>
          </w:tcPr>
          <w:p w:rsidR="00DC7C05" w:rsidRDefault="00DC7C05" w:rsidP="00F94B9E">
            <w:pPr>
              <w:widowControl w:val="0"/>
              <w:autoSpaceDE w:val="0"/>
              <w:autoSpaceDN w:val="0"/>
              <w:adjustRightInd w:val="0"/>
            </w:pPr>
            <w:r>
              <w:t>$135,000.</w:t>
            </w:r>
          </w:p>
        </w:tc>
      </w:tr>
      <w:tr w:rsidR="00DC7C05">
        <w:tblPrEx>
          <w:tblCellMar>
            <w:top w:w="0" w:type="dxa"/>
            <w:bottom w:w="0" w:type="dxa"/>
          </w:tblCellMar>
        </w:tblPrEx>
        <w:trPr>
          <w:trHeight w:val="1008"/>
        </w:trPr>
        <w:tc>
          <w:tcPr>
            <w:tcW w:w="3366" w:type="dxa"/>
          </w:tcPr>
          <w:p w:rsidR="00DC7C05" w:rsidRDefault="00DC7C05" w:rsidP="00F94B9E">
            <w:pPr>
              <w:widowControl w:val="0"/>
              <w:autoSpaceDE w:val="0"/>
              <w:autoSpaceDN w:val="0"/>
              <w:adjustRightInd w:val="0"/>
            </w:pPr>
            <w:r>
              <w:t>$1,000,001 to $10,000,000</w:t>
            </w:r>
          </w:p>
        </w:tc>
        <w:tc>
          <w:tcPr>
            <w:tcW w:w="3927" w:type="dxa"/>
          </w:tcPr>
          <w:p w:rsidR="00DC7C05" w:rsidRDefault="00DC7C05" w:rsidP="00F94B9E">
            <w:pPr>
              <w:widowControl w:val="0"/>
              <w:autoSpaceDE w:val="0"/>
              <w:autoSpaceDN w:val="0"/>
              <w:adjustRightInd w:val="0"/>
            </w:pPr>
            <w:r>
              <w:t>$135,000 plus $25,000 for each $1,000,000 or fraction thereof over $1,000,000.</w:t>
            </w:r>
          </w:p>
        </w:tc>
      </w:tr>
      <w:tr w:rsidR="00DC7C05">
        <w:tblPrEx>
          <w:tblCellMar>
            <w:top w:w="0" w:type="dxa"/>
            <w:bottom w:w="0" w:type="dxa"/>
          </w:tblCellMar>
        </w:tblPrEx>
        <w:trPr>
          <w:trHeight w:val="1008"/>
        </w:trPr>
        <w:tc>
          <w:tcPr>
            <w:tcW w:w="3366" w:type="dxa"/>
          </w:tcPr>
          <w:p w:rsidR="00DC7C05" w:rsidRDefault="00DC7C05" w:rsidP="00F94B9E">
            <w:pPr>
              <w:widowControl w:val="0"/>
              <w:autoSpaceDE w:val="0"/>
              <w:autoSpaceDN w:val="0"/>
              <w:adjustRightInd w:val="0"/>
            </w:pPr>
            <w:r>
              <w:t>$10,000,001 to $50,000,000</w:t>
            </w:r>
          </w:p>
        </w:tc>
        <w:tc>
          <w:tcPr>
            <w:tcW w:w="3927" w:type="dxa"/>
          </w:tcPr>
          <w:p w:rsidR="00DC7C05" w:rsidRDefault="00DC7C05" w:rsidP="00F94B9E">
            <w:pPr>
              <w:widowControl w:val="0"/>
              <w:autoSpaceDE w:val="0"/>
              <w:autoSpaceDN w:val="0"/>
              <w:adjustRightInd w:val="0"/>
            </w:pPr>
            <w:r>
              <w:t>$360,000 plus $50,000 for each $5,000,000 or fraction thereof over $10,000,000.</w:t>
            </w:r>
          </w:p>
        </w:tc>
      </w:tr>
      <w:tr w:rsidR="00DC7C05">
        <w:tblPrEx>
          <w:tblCellMar>
            <w:top w:w="0" w:type="dxa"/>
            <w:bottom w:w="0" w:type="dxa"/>
          </w:tblCellMar>
        </w:tblPrEx>
        <w:trPr>
          <w:trHeight w:val="1008"/>
        </w:trPr>
        <w:tc>
          <w:tcPr>
            <w:tcW w:w="3366" w:type="dxa"/>
          </w:tcPr>
          <w:p w:rsidR="00DC7C05" w:rsidRDefault="00DC7C05" w:rsidP="00F94B9E">
            <w:pPr>
              <w:widowControl w:val="0"/>
              <w:autoSpaceDE w:val="0"/>
              <w:autoSpaceDN w:val="0"/>
              <w:adjustRightInd w:val="0"/>
            </w:pPr>
            <w:r>
              <w:t>$50,000,001 to $500,000,000</w:t>
            </w:r>
          </w:p>
        </w:tc>
        <w:tc>
          <w:tcPr>
            <w:tcW w:w="3927" w:type="dxa"/>
          </w:tcPr>
          <w:p w:rsidR="00DC7C05" w:rsidRDefault="00DC7C05" w:rsidP="00F94B9E">
            <w:pPr>
              <w:widowControl w:val="0"/>
              <w:autoSpaceDE w:val="0"/>
              <w:autoSpaceDN w:val="0"/>
              <w:adjustRightInd w:val="0"/>
            </w:pPr>
            <w:r>
              <w:t>$760,000 plus $75,000 for each $25,000,000 or fraction thereof over $50,000,000.</w:t>
            </w:r>
          </w:p>
        </w:tc>
      </w:tr>
      <w:tr w:rsidR="00DC7C05">
        <w:tblPrEx>
          <w:tblCellMar>
            <w:top w:w="0" w:type="dxa"/>
            <w:bottom w:w="0" w:type="dxa"/>
          </w:tblCellMar>
        </w:tblPrEx>
        <w:tc>
          <w:tcPr>
            <w:tcW w:w="3366" w:type="dxa"/>
          </w:tcPr>
          <w:p w:rsidR="00DC7C05" w:rsidRDefault="00DC7C05" w:rsidP="00F94B9E">
            <w:pPr>
              <w:widowControl w:val="0"/>
              <w:autoSpaceDE w:val="0"/>
              <w:autoSpaceDN w:val="0"/>
              <w:adjustRightInd w:val="0"/>
            </w:pPr>
            <w:r>
              <w:t>Over $500,000,000</w:t>
            </w:r>
          </w:p>
        </w:tc>
        <w:tc>
          <w:tcPr>
            <w:tcW w:w="3927" w:type="dxa"/>
          </w:tcPr>
          <w:p w:rsidR="00DC7C05" w:rsidRDefault="00DC7C05" w:rsidP="00F94B9E">
            <w:pPr>
              <w:widowControl w:val="0"/>
              <w:autoSpaceDE w:val="0"/>
              <w:autoSpaceDN w:val="0"/>
              <w:adjustRightInd w:val="0"/>
            </w:pPr>
            <w:r>
              <w:t>$2,110,000 plus $100,000 for each $50,000,000 over $500,000,000.</w:t>
            </w:r>
          </w:p>
        </w:tc>
      </w:tr>
    </w:tbl>
    <w:p w:rsidR="00DC7C05" w:rsidRDefault="00DC7C05" w:rsidP="00DC7C05">
      <w:pPr>
        <w:widowControl w:val="0"/>
        <w:autoSpaceDE w:val="0"/>
        <w:autoSpaceDN w:val="0"/>
        <w:adjustRightInd w:val="0"/>
      </w:pPr>
    </w:p>
    <w:p w:rsidR="00F2080C" w:rsidRDefault="00F2080C" w:rsidP="00F2080C">
      <w:pPr>
        <w:widowControl w:val="0"/>
        <w:autoSpaceDE w:val="0"/>
        <w:autoSpaceDN w:val="0"/>
        <w:adjustRightInd w:val="0"/>
        <w:ind w:left="1440" w:hanging="720"/>
      </w:pPr>
      <w:r>
        <w:t>b)</w:t>
      </w:r>
      <w:r>
        <w:tab/>
        <w:t xml:space="preserve">No savings bank shall be required to maintain bond coverage in an amount greater than $3,000,000. </w:t>
      </w:r>
    </w:p>
    <w:p w:rsidR="00691394" w:rsidRDefault="00691394" w:rsidP="00F2080C">
      <w:pPr>
        <w:widowControl w:val="0"/>
        <w:autoSpaceDE w:val="0"/>
        <w:autoSpaceDN w:val="0"/>
        <w:adjustRightInd w:val="0"/>
        <w:ind w:left="1440" w:hanging="720"/>
      </w:pPr>
    </w:p>
    <w:p w:rsidR="00F2080C" w:rsidRDefault="00F2080C" w:rsidP="00F2080C">
      <w:pPr>
        <w:widowControl w:val="0"/>
        <w:autoSpaceDE w:val="0"/>
        <w:autoSpaceDN w:val="0"/>
        <w:adjustRightInd w:val="0"/>
        <w:ind w:left="1440" w:hanging="720"/>
      </w:pPr>
      <w:r>
        <w:t>c)</w:t>
      </w:r>
      <w:r>
        <w:tab/>
        <w:t xml:space="preserve">Coverage in excess of the above minimum requirements is optional at the discretion of the board of directors of the savings bank. </w:t>
      </w:r>
    </w:p>
    <w:p w:rsidR="00691394" w:rsidRDefault="00691394" w:rsidP="00F2080C">
      <w:pPr>
        <w:widowControl w:val="0"/>
        <w:autoSpaceDE w:val="0"/>
        <w:autoSpaceDN w:val="0"/>
        <w:adjustRightInd w:val="0"/>
        <w:ind w:left="1440" w:hanging="720"/>
      </w:pPr>
    </w:p>
    <w:p w:rsidR="00F2080C" w:rsidRDefault="00F2080C" w:rsidP="00F2080C">
      <w:pPr>
        <w:widowControl w:val="0"/>
        <w:autoSpaceDE w:val="0"/>
        <w:autoSpaceDN w:val="0"/>
        <w:adjustRightInd w:val="0"/>
        <w:ind w:left="1440" w:hanging="720"/>
      </w:pPr>
      <w:r>
        <w:t>d)</w:t>
      </w:r>
      <w:r>
        <w:tab/>
        <w:t xml:space="preserve">The bond shall not provide for more than one deductible from all losses caused by the same person or caused by the same persons acting in collusion or combination in cases in which </w:t>
      </w:r>
      <w:r w:rsidR="006C3DA8">
        <w:t>the</w:t>
      </w:r>
      <w:r>
        <w:t xml:space="preserve"> losses result from dishonesty. A deductible shall not exceed an amount determined in accordance with the following schedule: </w:t>
      </w:r>
    </w:p>
    <w:p w:rsidR="00DC7C05" w:rsidRDefault="00DC7C05" w:rsidP="00F2080C">
      <w:pPr>
        <w:widowControl w:val="0"/>
        <w:autoSpaceDE w:val="0"/>
        <w:autoSpaceDN w:val="0"/>
        <w:adjustRightInd w:val="0"/>
        <w:ind w:left="1440" w:hanging="720"/>
      </w:pPr>
    </w:p>
    <w:tbl>
      <w:tblPr>
        <w:tblW w:w="0" w:type="auto"/>
        <w:tblInd w:w="1978" w:type="dxa"/>
        <w:tblLook w:val="0000" w:firstRow="0" w:lastRow="0" w:firstColumn="0" w:lastColumn="0" w:noHBand="0" w:noVBand="0"/>
      </w:tblPr>
      <w:tblGrid>
        <w:gridCol w:w="4488"/>
        <w:gridCol w:w="3047"/>
      </w:tblGrid>
      <w:tr w:rsidR="00DC7C05" w:rsidTr="00B82CFB">
        <w:tblPrEx>
          <w:tblCellMar>
            <w:top w:w="0" w:type="dxa"/>
            <w:bottom w:w="0" w:type="dxa"/>
          </w:tblCellMar>
        </w:tblPrEx>
        <w:trPr>
          <w:trHeight w:val="405"/>
        </w:trPr>
        <w:tc>
          <w:tcPr>
            <w:tcW w:w="4488" w:type="dxa"/>
          </w:tcPr>
          <w:p w:rsidR="00DC7C05" w:rsidRPr="00B75E76" w:rsidRDefault="00DC7C05" w:rsidP="00F94B9E">
            <w:pPr>
              <w:widowControl w:val="0"/>
              <w:autoSpaceDE w:val="0"/>
              <w:autoSpaceDN w:val="0"/>
              <w:adjustRightInd w:val="0"/>
              <w:rPr>
                <w:u w:val="single"/>
              </w:rPr>
            </w:pPr>
            <w:r>
              <w:rPr>
                <w:u w:val="single"/>
              </w:rPr>
              <w:t>Total Capital</w:t>
            </w:r>
          </w:p>
        </w:tc>
        <w:tc>
          <w:tcPr>
            <w:tcW w:w="3047" w:type="dxa"/>
          </w:tcPr>
          <w:p w:rsidR="00DC7C05" w:rsidRPr="00B75E76" w:rsidRDefault="00DC7C05" w:rsidP="00F94B9E">
            <w:pPr>
              <w:widowControl w:val="0"/>
              <w:autoSpaceDE w:val="0"/>
              <w:autoSpaceDN w:val="0"/>
              <w:adjustRightInd w:val="0"/>
              <w:rPr>
                <w:u w:val="single"/>
              </w:rPr>
            </w:pPr>
            <w:r>
              <w:rPr>
                <w:u w:val="single"/>
              </w:rPr>
              <w:t>Permissible Deductible</w:t>
            </w:r>
          </w:p>
        </w:tc>
      </w:tr>
      <w:tr w:rsidR="00DC7C05">
        <w:tblPrEx>
          <w:tblCellMar>
            <w:top w:w="0" w:type="dxa"/>
            <w:bottom w:w="0" w:type="dxa"/>
          </w:tblCellMar>
        </w:tblPrEx>
        <w:trPr>
          <w:trHeight w:val="432"/>
        </w:trPr>
        <w:tc>
          <w:tcPr>
            <w:tcW w:w="4488" w:type="dxa"/>
          </w:tcPr>
          <w:p w:rsidR="00DC7C05" w:rsidRDefault="00DC7C05" w:rsidP="00F94B9E">
            <w:pPr>
              <w:widowControl w:val="0"/>
              <w:autoSpaceDE w:val="0"/>
              <w:autoSpaceDN w:val="0"/>
              <w:adjustRightInd w:val="0"/>
            </w:pPr>
            <w:r>
              <w:t>Less than 4</w:t>
            </w:r>
            <w:r w:rsidR="006C3DA8">
              <w:t>%</w:t>
            </w:r>
            <w:r>
              <w:t xml:space="preserve"> of total assets</w:t>
            </w:r>
          </w:p>
        </w:tc>
        <w:tc>
          <w:tcPr>
            <w:tcW w:w="3047" w:type="dxa"/>
          </w:tcPr>
          <w:p w:rsidR="00DC7C05" w:rsidRDefault="00DC7C05" w:rsidP="00F94B9E">
            <w:pPr>
              <w:widowControl w:val="0"/>
              <w:autoSpaceDE w:val="0"/>
              <w:autoSpaceDN w:val="0"/>
              <w:adjustRightInd w:val="0"/>
            </w:pPr>
            <w:r>
              <w:t>10</w:t>
            </w:r>
            <w:r w:rsidR="006C3DA8">
              <w:t>%</w:t>
            </w:r>
            <w:r>
              <w:t xml:space="preserve"> of total capital.</w:t>
            </w:r>
          </w:p>
        </w:tc>
      </w:tr>
      <w:tr w:rsidR="00DC7C05">
        <w:tblPrEx>
          <w:tblCellMar>
            <w:top w:w="0" w:type="dxa"/>
            <w:bottom w:w="0" w:type="dxa"/>
          </w:tblCellMar>
        </w:tblPrEx>
        <w:trPr>
          <w:trHeight w:val="720"/>
        </w:trPr>
        <w:tc>
          <w:tcPr>
            <w:tcW w:w="4488" w:type="dxa"/>
          </w:tcPr>
          <w:p w:rsidR="00DC7C05" w:rsidRDefault="00DC7C05" w:rsidP="00F94B9E">
            <w:pPr>
              <w:widowControl w:val="0"/>
              <w:autoSpaceDE w:val="0"/>
              <w:autoSpaceDN w:val="0"/>
              <w:adjustRightInd w:val="0"/>
            </w:pPr>
            <w:r>
              <w:lastRenderedPageBreak/>
              <w:t>Greater than 4</w:t>
            </w:r>
            <w:r w:rsidR="006C3DA8">
              <w:t>%</w:t>
            </w:r>
            <w:r>
              <w:t xml:space="preserve"> but less than 6</w:t>
            </w:r>
            <w:r w:rsidR="006C3DA8">
              <w:t>%</w:t>
            </w:r>
            <w:r>
              <w:t xml:space="preserve"> of total assets</w:t>
            </w:r>
          </w:p>
        </w:tc>
        <w:tc>
          <w:tcPr>
            <w:tcW w:w="3047" w:type="dxa"/>
          </w:tcPr>
          <w:p w:rsidR="00DC7C05" w:rsidRDefault="00DC7C05" w:rsidP="00F94B9E">
            <w:pPr>
              <w:widowControl w:val="0"/>
              <w:autoSpaceDE w:val="0"/>
              <w:autoSpaceDN w:val="0"/>
              <w:adjustRightInd w:val="0"/>
            </w:pPr>
            <w:r>
              <w:t>15</w:t>
            </w:r>
            <w:r w:rsidR="006C3DA8">
              <w:t>%</w:t>
            </w:r>
            <w:r>
              <w:t xml:space="preserve"> of total capital.</w:t>
            </w:r>
          </w:p>
        </w:tc>
      </w:tr>
      <w:tr w:rsidR="00DC7C05" w:rsidTr="00B82CFB">
        <w:tblPrEx>
          <w:tblCellMar>
            <w:top w:w="0" w:type="dxa"/>
            <w:bottom w:w="0" w:type="dxa"/>
          </w:tblCellMar>
        </w:tblPrEx>
        <w:trPr>
          <w:trHeight w:val="240"/>
        </w:trPr>
        <w:tc>
          <w:tcPr>
            <w:tcW w:w="4488" w:type="dxa"/>
          </w:tcPr>
          <w:p w:rsidR="00DC7C05" w:rsidRDefault="00DC7C05" w:rsidP="00F94B9E">
            <w:pPr>
              <w:widowControl w:val="0"/>
              <w:autoSpaceDE w:val="0"/>
              <w:autoSpaceDN w:val="0"/>
              <w:adjustRightInd w:val="0"/>
            </w:pPr>
            <w:r>
              <w:t>Greater than 6</w:t>
            </w:r>
            <w:r w:rsidR="006C3DA8">
              <w:t>%</w:t>
            </w:r>
            <w:r>
              <w:t xml:space="preserve"> of total assets</w:t>
            </w:r>
          </w:p>
        </w:tc>
        <w:tc>
          <w:tcPr>
            <w:tcW w:w="3047" w:type="dxa"/>
          </w:tcPr>
          <w:p w:rsidR="00DC7C05" w:rsidRDefault="00DC7C05" w:rsidP="00F94B9E">
            <w:pPr>
              <w:widowControl w:val="0"/>
              <w:autoSpaceDE w:val="0"/>
              <w:autoSpaceDN w:val="0"/>
              <w:adjustRightInd w:val="0"/>
            </w:pPr>
            <w:r>
              <w:t>20</w:t>
            </w:r>
            <w:r w:rsidR="006C3DA8">
              <w:t>%</w:t>
            </w:r>
            <w:r>
              <w:t xml:space="preserve"> of total capital.</w:t>
            </w:r>
          </w:p>
        </w:tc>
      </w:tr>
    </w:tbl>
    <w:p w:rsidR="00DC7C05" w:rsidRDefault="00DC7C05" w:rsidP="00DC7C05">
      <w:pPr>
        <w:widowControl w:val="0"/>
        <w:autoSpaceDE w:val="0"/>
        <w:autoSpaceDN w:val="0"/>
        <w:adjustRightInd w:val="0"/>
      </w:pPr>
    </w:p>
    <w:p w:rsidR="00F2080C" w:rsidRDefault="00F2080C" w:rsidP="00F2080C">
      <w:pPr>
        <w:widowControl w:val="0"/>
        <w:autoSpaceDE w:val="0"/>
        <w:autoSpaceDN w:val="0"/>
        <w:adjustRightInd w:val="0"/>
        <w:ind w:left="1440" w:hanging="720"/>
      </w:pPr>
      <w:r>
        <w:t>e)</w:t>
      </w:r>
      <w:r>
        <w:tab/>
        <w:t xml:space="preserve">The bond shall be in the form known as Standard Form No. 22, Standard Form No. 24 or an equivalent as determined by the </w:t>
      </w:r>
      <w:r w:rsidR="000A2FD9">
        <w:t>Director</w:t>
      </w:r>
      <w:r>
        <w:t xml:space="preserve">. </w:t>
      </w:r>
    </w:p>
    <w:p w:rsidR="003F1286" w:rsidRDefault="003F1286">
      <w:pPr>
        <w:pStyle w:val="JCARSourceNote"/>
        <w:ind w:left="720"/>
      </w:pPr>
    </w:p>
    <w:p w:rsidR="003F1286" w:rsidRPr="00D55B37" w:rsidRDefault="003F1286">
      <w:pPr>
        <w:pStyle w:val="JCARSourceNote"/>
        <w:ind w:left="720"/>
      </w:pPr>
      <w:r w:rsidRPr="00D55B37">
        <w:t xml:space="preserve">(Source:  </w:t>
      </w:r>
      <w:r>
        <w:t>Amended</w:t>
      </w:r>
      <w:r w:rsidRPr="00D55B37">
        <w:t xml:space="preserve"> at </w:t>
      </w:r>
      <w:r>
        <w:t>30 I</w:t>
      </w:r>
      <w:r w:rsidRPr="00D55B37">
        <w:t xml:space="preserve">ll. Reg. </w:t>
      </w:r>
      <w:r w:rsidR="00380ABE">
        <w:t>19068</w:t>
      </w:r>
      <w:r w:rsidRPr="00D55B37">
        <w:t xml:space="preserve">, effective </w:t>
      </w:r>
      <w:r w:rsidR="00380ABE">
        <w:t>December 1, 2006</w:t>
      </w:r>
      <w:r w:rsidRPr="00D55B37">
        <w:t>)</w:t>
      </w:r>
    </w:p>
    <w:sectPr w:rsidR="003F1286" w:rsidRPr="00D55B37" w:rsidSect="00F208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080C"/>
    <w:rsid w:val="00003718"/>
    <w:rsid w:val="000A2FD9"/>
    <w:rsid w:val="00380ABE"/>
    <w:rsid w:val="003F1286"/>
    <w:rsid w:val="005A0C7B"/>
    <w:rsid w:val="005C3366"/>
    <w:rsid w:val="00691394"/>
    <w:rsid w:val="006C3DA8"/>
    <w:rsid w:val="007979D1"/>
    <w:rsid w:val="007F0CC6"/>
    <w:rsid w:val="00B75E76"/>
    <w:rsid w:val="00B82CFB"/>
    <w:rsid w:val="00C83ABA"/>
    <w:rsid w:val="00D015F4"/>
    <w:rsid w:val="00D917BB"/>
    <w:rsid w:val="00DC7C05"/>
    <w:rsid w:val="00F2080C"/>
    <w:rsid w:val="00F94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F12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F1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2012-06-21T23:31:00Z</dcterms:created>
  <dcterms:modified xsi:type="dcterms:W3CDTF">2012-06-21T23:31:00Z</dcterms:modified>
</cp:coreProperties>
</file>