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19" w:rsidRDefault="00957119" w:rsidP="009571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7119" w:rsidRDefault="00957119" w:rsidP="00957119">
      <w:pPr>
        <w:widowControl w:val="0"/>
        <w:autoSpaceDE w:val="0"/>
        <w:autoSpaceDN w:val="0"/>
        <w:adjustRightInd w:val="0"/>
        <w:jc w:val="center"/>
      </w:pPr>
      <w:r>
        <w:t>SUBPART I:  LOAN BROKERAGE PRACTICES</w:t>
      </w:r>
    </w:p>
    <w:sectPr w:rsidR="00957119" w:rsidSect="009571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119"/>
    <w:rsid w:val="00507032"/>
    <w:rsid w:val="005C3366"/>
    <w:rsid w:val="00957119"/>
    <w:rsid w:val="00A656B3"/>
    <w:rsid w:val="00D23878"/>
    <w:rsid w:val="00DB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LOAN BROKERAGE PRACTICES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LOAN BROKERAGE PRACTICES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