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7C" w:rsidRDefault="00AE747C" w:rsidP="00AE7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47C" w:rsidRDefault="00AE747C" w:rsidP="00AE74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375.60  Credits and Additional Assessments Not Applicable to Resulting National Banks</w:t>
      </w:r>
      <w:r>
        <w:t xml:space="preserve"> </w:t>
      </w:r>
    </w:p>
    <w:p w:rsidR="00AE747C" w:rsidRDefault="00AE747C" w:rsidP="00AE747C">
      <w:pPr>
        <w:widowControl w:val="0"/>
        <w:autoSpaceDE w:val="0"/>
        <w:autoSpaceDN w:val="0"/>
        <w:adjustRightInd w:val="0"/>
      </w:pPr>
    </w:p>
    <w:p w:rsidR="00AE747C" w:rsidRDefault="00AE747C" w:rsidP="00AE747C">
      <w:pPr>
        <w:widowControl w:val="0"/>
        <w:autoSpaceDE w:val="0"/>
        <w:autoSpaceDN w:val="0"/>
        <w:adjustRightInd w:val="0"/>
      </w:pPr>
      <w:r>
        <w:t xml:space="preserve">A financial institution other than a state bank that results from a conversion by, or merger with, a state bank shall not be eligible for any credit and shall not be liable for any additional assessments described in Section 48(3)(d-1) of the Act [205 ILCS 5/48(3)(d-1)]. </w:t>
      </w:r>
    </w:p>
    <w:p w:rsidR="00AE747C" w:rsidRDefault="00AE747C" w:rsidP="00AE747C">
      <w:pPr>
        <w:widowControl w:val="0"/>
        <w:autoSpaceDE w:val="0"/>
        <w:autoSpaceDN w:val="0"/>
        <w:adjustRightInd w:val="0"/>
      </w:pPr>
    </w:p>
    <w:p w:rsidR="00AE747C" w:rsidRDefault="00AE747C" w:rsidP="00AE74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225, effective December 31, 1999) </w:t>
      </w:r>
    </w:p>
    <w:sectPr w:rsidR="00AE747C" w:rsidSect="00AE7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47C"/>
    <w:rsid w:val="001E580D"/>
    <w:rsid w:val="005C3366"/>
    <w:rsid w:val="006B00F8"/>
    <w:rsid w:val="0080045F"/>
    <w:rsid w:val="00A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