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58AE" w14:textId="77777777" w:rsidR="00EC293E" w:rsidRDefault="00EC293E" w:rsidP="00EC293E">
      <w:pPr>
        <w:widowControl w:val="0"/>
        <w:tabs>
          <w:tab w:val="left" w:pos="1260"/>
        </w:tabs>
      </w:pPr>
    </w:p>
    <w:p w14:paraId="6FDBD2FD" w14:textId="77777777" w:rsidR="00EC293E" w:rsidRPr="003149C5" w:rsidRDefault="00EC293E" w:rsidP="00EC293E">
      <w:pPr>
        <w:widowControl w:val="0"/>
        <w:tabs>
          <w:tab w:val="left" w:pos="1260"/>
        </w:tabs>
        <w:rPr>
          <w:b/>
          <w:bCs/>
        </w:rPr>
      </w:pPr>
      <w:r>
        <w:rPr>
          <w:b/>
          <w:bCs/>
        </w:rPr>
        <w:t xml:space="preserve">Section </w:t>
      </w:r>
      <w:r w:rsidRPr="003149C5">
        <w:rPr>
          <w:b/>
          <w:bCs/>
        </w:rPr>
        <w:t>360.910</w:t>
      </w:r>
      <w:bookmarkStart w:id="0" w:name="_Hlk189562219"/>
      <w:r>
        <w:rPr>
          <w:b/>
          <w:bCs/>
        </w:rPr>
        <w:t xml:space="preserve">  </w:t>
      </w:r>
      <w:r w:rsidRPr="003149C5">
        <w:rPr>
          <w:b/>
          <w:bCs/>
        </w:rPr>
        <w:t>Semiannual Report</w:t>
      </w:r>
      <w:bookmarkEnd w:id="0"/>
    </w:p>
    <w:p w14:paraId="5F3A348F" w14:textId="77777777" w:rsidR="00EC293E" w:rsidRDefault="00EC293E" w:rsidP="00EC293E">
      <w:pPr>
        <w:widowControl w:val="0"/>
        <w:tabs>
          <w:tab w:val="left" w:pos="1260"/>
        </w:tabs>
      </w:pPr>
    </w:p>
    <w:p w14:paraId="56FF4D81" w14:textId="77777777" w:rsidR="00EC293E" w:rsidRDefault="00EC293E" w:rsidP="00EC293E">
      <w:pPr>
        <w:widowControl w:val="0"/>
      </w:pPr>
      <w:r>
        <w:t xml:space="preserve">Beginning on </w:t>
      </w:r>
      <w:r w:rsidRPr="00370587">
        <w:t>April 1, 2026</w:t>
      </w:r>
      <w:r>
        <w:t>, on or before October 1 and April 1 of each calendar year, t</w:t>
      </w:r>
      <w:r w:rsidRPr="002E701F">
        <w:t xml:space="preserve">he </w:t>
      </w:r>
      <w:r>
        <w:t xml:space="preserve">Director </w:t>
      </w:r>
      <w:r w:rsidRPr="002E701F">
        <w:t>shall</w:t>
      </w:r>
      <w:r>
        <w:t xml:space="preserve"> submit a written </w:t>
      </w:r>
      <w:r w:rsidRPr="002E701F">
        <w:t>report</w:t>
      </w:r>
      <w:r>
        <w:t xml:space="preserve"> to the Secretary regarding expenses and activities of the Pawnbroker Section of the Division of Banking</w:t>
      </w:r>
      <w:r w:rsidRPr="002E701F">
        <w:t>. The report shall contain at a minimum:</w:t>
      </w:r>
    </w:p>
    <w:p w14:paraId="1B4D3BDC" w14:textId="77777777" w:rsidR="00EC293E" w:rsidRDefault="00EC293E" w:rsidP="00EC293E">
      <w:pPr>
        <w:widowControl w:val="0"/>
      </w:pPr>
    </w:p>
    <w:p w14:paraId="7CFE3345" w14:textId="232D293B" w:rsidR="00EC293E" w:rsidRDefault="00EC293E" w:rsidP="00EC293E">
      <w:pPr>
        <w:widowControl w:val="0"/>
        <w:ind w:left="1440" w:hanging="720"/>
      </w:pPr>
      <w:r>
        <w:t>a)</w:t>
      </w:r>
      <w:r>
        <w:tab/>
        <w:t>Documentation sufficient to identify the direct administrative and operational expenses and allocable indirect costs of the Pawnbroker Section of the Division of Banking incidental to regulating the pawnbroker industry;</w:t>
      </w:r>
    </w:p>
    <w:p w14:paraId="3F01E1CA" w14:textId="77777777" w:rsidR="00EC293E" w:rsidRDefault="00EC293E" w:rsidP="00254D35">
      <w:pPr>
        <w:widowControl w:val="0"/>
      </w:pPr>
    </w:p>
    <w:p w14:paraId="463FE8CF" w14:textId="341BCE15" w:rsidR="00EC293E" w:rsidRDefault="00EC293E" w:rsidP="00EC293E">
      <w:pPr>
        <w:widowControl w:val="0"/>
        <w:ind w:left="1440" w:hanging="720"/>
      </w:pPr>
      <w:r>
        <w:t>b)</w:t>
      </w:r>
      <w:r>
        <w:tab/>
        <w:t>The number of virtual examinations completed since the most recent report;</w:t>
      </w:r>
    </w:p>
    <w:p w14:paraId="1CD332A8" w14:textId="77777777" w:rsidR="00EC293E" w:rsidRDefault="00EC293E" w:rsidP="00254D35">
      <w:pPr>
        <w:widowControl w:val="0"/>
      </w:pPr>
    </w:p>
    <w:p w14:paraId="6D4B0842" w14:textId="6F23F742" w:rsidR="00EC293E" w:rsidRDefault="00EC293E" w:rsidP="00EC293E">
      <w:pPr>
        <w:widowControl w:val="0"/>
        <w:ind w:left="1440" w:hanging="720"/>
      </w:pPr>
      <w:r>
        <w:t>c)</w:t>
      </w:r>
      <w:r>
        <w:tab/>
        <w:t>The number of in-person examinations required, requested, and completed since the most recent report;</w:t>
      </w:r>
    </w:p>
    <w:p w14:paraId="7288B2C7" w14:textId="77777777" w:rsidR="00EC293E" w:rsidRDefault="00EC293E" w:rsidP="00254D35">
      <w:pPr>
        <w:widowControl w:val="0"/>
      </w:pPr>
    </w:p>
    <w:p w14:paraId="013F5E3A" w14:textId="7210D6AA" w:rsidR="00EC293E" w:rsidRDefault="00EC293E" w:rsidP="00EC293E">
      <w:pPr>
        <w:widowControl w:val="0"/>
        <w:ind w:left="1440" w:hanging="720"/>
      </w:pPr>
      <w:r>
        <w:t>d)</w:t>
      </w:r>
      <w:r>
        <w:tab/>
        <w:t xml:space="preserve">The number of persons or entities identified by the Department as having violated Section 5-1(a) [205 </w:t>
      </w:r>
      <w:proofErr w:type="spellStart"/>
      <w:r>
        <w:t>ILCS</w:t>
      </w:r>
      <w:proofErr w:type="spellEnd"/>
      <w:r>
        <w:t xml:space="preserve"> 511/5-1(a)], Section 5-5(b) [205 </w:t>
      </w:r>
      <w:proofErr w:type="spellStart"/>
      <w:r>
        <w:t>ILCS</w:t>
      </w:r>
      <w:proofErr w:type="spellEnd"/>
      <w:r>
        <w:t xml:space="preserve"> 511/5-5(b)], or Section 15-5(a) [205 </w:t>
      </w:r>
      <w:proofErr w:type="spellStart"/>
      <w:r>
        <w:t>ILCS</w:t>
      </w:r>
      <w:proofErr w:type="spellEnd"/>
      <w:r>
        <w:t xml:space="preserve"> 511/15-5(a)] of the Act; and</w:t>
      </w:r>
    </w:p>
    <w:p w14:paraId="770E9A21" w14:textId="77777777" w:rsidR="00EC293E" w:rsidRDefault="00EC293E" w:rsidP="00254D35">
      <w:pPr>
        <w:widowControl w:val="0"/>
      </w:pPr>
    </w:p>
    <w:p w14:paraId="063BD3A3" w14:textId="53CDDBE8" w:rsidR="00EC293E" w:rsidRDefault="00EC293E" w:rsidP="00EC293E">
      <w:pPr>
        <w:widowControl w:val="0"/>
        <w:ind w:left="1440" w:hanging="720"/>
      </w:pPr>
      <w:r>
        <w:t>e)</w:t>
      </w:r>
      <w:r>
        <w:tab/>
        <w:t xml:space="preserve">The number of persons or entities identified by the Department as having violated Article 15 [205 </w:t>
      </w:r>
      <w:proofErr w:type="spellStart"/>
      <w:r>
        <w:t>ILCS</w:t>
      </w:r>
      <w:proofErr w:type="spellEnd"/>
      <w:r>
        <w:t xml:space="preserve"> 511/15] of the Act.</w:t>
      </w:r>
    </w:p>
    <w:p w14:paraId="3C2FD953" w14:textId="019BDC45" w:rsidR="000174EB" w:rsidRDefault="000174EB" w:rsidP="00093935"/>
    <w:p w14:paraId="535DF3D8" w14:textId="197B1E7C" w:rsidR="00EC293E" w:rsidRPr="00093935" w:rsidRDefault="00EC293E" w:rsidP="00EC293E">
      <w:pPr>
        <w:ind w:firstLine="720"/>
      </w:pPr>
      <w:r w:rsidRPr="00EE0FDC">
        <w:t>(Source:  Added at 4</w:t>
      </w:r>
      <w:r>
        <w:t>9</w:t>
      </w:r>
      <w:r w:rsidRPr="00EE0FDC">
        <w:t xml:space="preserve"> Ill. Reg. </w:t>
      </w:r>
      <w:r w:rsidR="00F0751D">
        <w:t>14602</w:t>
      </w:r>
      <w:r w:rsidRPr="00EE0FDC">
        <w:t xml:space="preserve">, effective </w:t>
      </w:r>
      <w:r w:rsidR="00F0751D">
        <w:t>October 29, 2025</w:t>
      </w:r>
      <w:r w:rsidRPr="00EE0FDC">
        <w:t>)</w:t>
      </w:r>
    </w:p>
    <w:sectPr w:rsidR="00EC293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7E542" w14:textId="77777777" w:rsidR="0092535B" w:rsidRDefault="0092535B">
      <w:r>
        <w:separator/>
      </w:r>
    </w:p>
  </w:endnote>
  <w:endnote w:type="continuationSeparator" w:id="0">
    <w:p w14:paraId="3CB40053" w14:textId="77777777" w:rsidR="0092535B" w:rsidRDefault="0092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084B" w14:textId="77777777" w:rsidR="0092535B" w:rsidRDefault="0092535B">
      <w:r>
        <w:separator/>
      </w:r>
    </w:p>
  </w:footnote>
  <w:footnote w:type="continuationSeparator" w:id="0">
    <w:p w14:paraId="56F2136E" w14:textId="77777777" w:rsidR="0092535B" w:rsidRDefault="00925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D3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35B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89A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293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751D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E9986"/>
  <w15:chartTrackingRefBased/>
  <w15:docId w15:val="{0AC9F002-382E-42CA-8EE6-AEE53916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9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959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2025-10-27T16:22:00Z</dcterms:created>
  <dcterms:modified xsi:type="dcterms:W3CDTF">2025-11-14T16:12:00Z</dcterms:modified>
</cp:coreProperties>
</file>