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464E" w14:textId="77777777" w:rsidR="00652C35" w:rsidRDefault="00652C35" w:rsidP="00691C08"/>
    <w:p w14:paraId="6C47FED7" w14:textId="77777777" w:rsidR="001C71C2" w:rsidRPr="00652C35" w:rsidRDefault="00652C35" w:rsidP="00691C08">
      <w:pPr>
        <w:rPr>
          <w:b/>
        </w:rPr>
      </w:pPr>
      <w:r w:rsidRPr="00652C35">
        <w:rPr>
          <w:b/>
        </w:rPr>
        <w:t>Section 360.20  Fees</w:t>
      </w:r>
    </w:p>
    <w:p w14:paraId="21087C83" w14:textId="77777777" w:rsidR="00652C35" w:rsidRDefault="00652C35" w:rsidP="00691C08"/>
    <w:p w14:paraId="5D9D718C" w14:textId="47B79BC4" w:rsidR="00652C35" w:rsidRDefault="00652C35" w:rsidP="0046782B">
      <w:pPr>
        <w:ind w:left="1440" w:hanging="720"/>
      </w:pPr>
      <w:r>
        <w:t>a)</w:t>
      </w:r>
      <w:r>
        <w:tab/>
      </w:r>
      <w:r w:rsidR="0046782B">
        <w:t xml:space="preserve">The following fees listed in this </w:t>
      </w:r>
      <w:r w:rsidR="00345FC2">
        <w:t>subsection</w:t>
      </w:r>
      <w:r w:rsidR="00150221">
        <w:t xml:space="preserve"> (a)</w:t>
      </w:r>
      <w:r w:rsidR="00345FC2">
        <w:t xml:space="preserve"> </w:t>
      </w:r>
      <w:r w:rsidR="0046782B">
        <w:t>shall be payable to the Department or to the Nationwide Mortgage Licensing System and Registry for transfer to the Department as approved by the Director.  The Director may specify the form of payment to the Department or to the NMLS, which may include certified check, money order, credit card, or other forms authorized by the Director.  The Director may specify that fees be paid separately or combined, and may pro-rate fees for implementation of the NMLS.  The NMLS shall be authorized to collect and process transaction fees or other fees related to licensees or other persons subject to the Act.</w:t>
      </w:r>
      <w:r w:rsidR="0010704D">
        <w:t xml:space="preserve"> </w:t>
      </w:r>
    </w:p>
    <w:p w14:paraId="7C19FE65" w14:textId="77777777" w:rsidR="00652C35" w:rsidRDefault="00652C35" w:rsidP="00BB38E9"/>
    <w:p w14:paraId="0C41502C" w14:textId="2F5FBDF2" w:rsidR="006C2A36" w:rsidRDefault="006C2A36" w:rsidP="00F2712D">
      <w:pPr>
        <w:ind w:left="2160" w:hanging="720"/>
      </w:pPr>
      <w:r>
        <w:t>1)</w:t>
      </w:r>
      <w:r>
        <w:tab/>
      </w:r>
      <w:r w:rsidR="003A2C8A">
        <w:t>Pawnshop</w:t>
      </w:r>
      <w:r w:rsidR="00863AA0">
        <w:t xml:space="preserve"> </w:t>
      </w:r>
      <w:r w:rsidR="0010704D">
        <w:t xml:space="preserve">License </w:t>
      </w:r>
      <w:r w:rsidR="0046782B">
        <w:t>Application and Renewal.  For each application of an initial license and each application for an annual renewal of a license, the applicant shall pay a nonrefundable application fee of $</w:t>
      </w:r>
      <w:r w:rsidR="00CE5A66">
        <w:t>2,000</w:t>
      </w:r>
      <w:r w:rsidR="0010704D">
        <w:t>.</w:t>
      </w:r>
    </w:p>
    <w:p w14:paraId="51EA4227" w14:textId="77777777" w:rsidR="00CE5A66" w:rsidRDefault="00CE5A66" w:rsidP="0076049E"/>
    <w:p w14:paraId="7896F2B7" w14:textId="15EEB127" w:rsidR="00CE5A66" w:rsidRDefault="00CE5A66" w:rsidP="00CE5A66">
      <w:pPr>
        <w:ind w:left="2160" w:hanging="720"/>
      </w:pPr>
      <w:r>
        <w:t>2)</w:t>
      </w:r>
      <w:r>
        <w:tab/>
        <w:t xml:space="preserve">Investigation Fee.  For the initial application of a pawnshop license, the applicant shall pay a non-refundable </w:t>
      </w:r>
      <w:r w:rsidR="008D48CE">
        <w:t>investigation</w:t>
      </w:r>
      <w:r>
        <w:t xml:space="preserve"> fee of $800.</w:t>
      </w:r>
    </w:p>
    <w:p w14:paraId="0C0D370E" w14:textId="4485C0C4" w:rsidR="00652C35" w:rsidRDefault="00652C35" w:rsidP="00BB38E9"/>
    <w:p w14:paraId="7205C516" w14:textId="0706C722" w:rsidR="00652C35" w:rsidRDefault="00CE5A66" w:rsidP="0046782B">
      <w:pPr>
        <w:ind w:left="2160" w:hanging="720"/>
      </w:pPr>
      <w:r>
        <w:t>3</w:t>
      </w:r>
      <w:r w:rsidR="0046782B">
        <w:t>)</w:t>
      </w:r>
      <w:r w:rsidR="00652C35">
        <w:tab/>
        <w:t xml:space="preserve">Change </w:t>
      </w:r>
      <w:r w:rsidR="0046782B">
        <w:t>in</w:t>
      </w:r>
      <w:r w:rsidR="00652C35">
        <w:t xml:space="preserve"> Control </w:t>
      </w:r>
      <w:r w:rsidR="0046782B">
        <w:t xml:space="preserve">or Form </w:t>
      </w:r>
      <w:r w:rsidR="00262F34">
        <w:t>of Ownership</w:t>
      </w:r>
      <w:r w:rsidR="0046782B">
        <w:t xml:space="preserve">.  The licensee shall pay a nonrefundable fee of </w:t>
      </w:r>
      <w:r w:rsidR="00652C35">
        <w:t>$300</w:t>
      </w:r>
      <w:r w:rsidR="0046782B">
        <w:t xml:space="preserve"> for each application for change of control or form of ownership filed pursuant to Section 360.150</w:t>
      </w:r>
      <w:r w:rsidR="00652C35">
        <w:t>.</w:t>
      </w:r>
    </w:p>
    <w:p w14:paraId="6266D540" w14:textId="77777777" w:rsidR="00652C35" w:rsidRDefault="00652C35" w:rsidP="00BB38E9"/>
    <w:p w14:paraId="1E0FE69F" w14:textId="2A120B24" w:rsidR="00652C35" w:rsidRDefault="00CE5A66" w:rsidP="0046782B">
      <w:pPr>
        <w:ind w:left="2160" w:hanging="720"/>
      </w:pPr>
      <w:r>
        <w:t>4</w:t>
      </w:r>
      <w:r w:rsidR="0046782B">
        <w:t>)</w:t>
      </w:r>
      <w:r w:rsidR="00262F34">
        <w:tab/>
        <w:t>Change of Name</w:t>
      </w:r>
      <w:r w:rsidR="0046782B">
        <w:t xml:space="preserve">.  The licensee shall pay a nonrefundable fee of </w:t>
      </w:r>
      <w:r w:rsidR="00652C35">
        <w:t>$50</w:t>
      </w:r>
      <w:r w:rsidR="0046782B">
        <w:t xml:space="preserve"> for each application for change of name filed pursuant to Section 360.150</w:t>
      </w:r>
      <w:r w:rsidR="00652C35">
        <w:t>.</w:t>
      </w:r>
    </w:p>
    <w:p w14:paraId="630F2A97" w14:textId="77777777" w:rsidR="00652C35" w:rsidRDefault="00652C35" w:rsidP="00BB38E9"/>
    <w:p w14:paraId="57E1D1F9" w14:textId="114228DE" w:rsidR="00652C35" w:rsidRDefault="00CE5A66" w:rsidP="0046782B">
      <w:pPr>
        <w:ind w:left="2160" w:hanging="720"/>
      </w:pPr>
      <w:r>
        <w:t>5</w:t>
      </w:r>
      <w:r w:rsidR="0046782B">
        <w:t>)</w:t>
      </w:r>
      <w:r w:rsidR="00262F34">
        <w:tab/>
        <w:t>Change of Location</w:t>
      </w:r>
      <w:r w:rsidR="0046782B">
        <w:t xml:space="preserve">.  The licensee shall pay a nonrefundable fee of </w:t>
      </w:r>
      <w:r w:rsidR="00652C35">
        <w:t>$50</w:t>
      </w:r>
      <w:r w:rsidR="0046782B">
        <w:t xml:space="preserve"> for each application for change of location filed pursuant to Section 360.150</w:t>
      </w:r>
      <w:r w:rsidR="00D16A4E">
        <w:t>.</w:t>
      </w:r>
    </w:p>
    <w:p w14:paraId="66E4849C" w14:textId="77777777" w:rsidR="00CE5A66" w:rsidRDefault="00CE5A66" w:rsidP="0076049E"/>
    <w:p w14:paraId="5BD41FFD" w14:textId="77777777" w:rsidR="00D5109A" w:rsidRDefault="00CE5A66" w:rsidP="00CE5A66">
      <w:pPr>
        <w:ind w:left="2160" w:hanging="720"/>
      </w:pPr>
      <w:r>
        <w:t>6)</w:t>
      </w:r>
      <w:r>
        <w:tab/>
        <w:t xml:space="preserve">Annual Examination Fee.  </w:t>
      </w:r>
    </w:p>
    <w:p w14:paraId="5B26E37B" w14:textId="77777777" w:rsidR="00D5109A" w:rsidRDefault="00D5109A" w:rsidP="0076049E"/>
    <w:p w14:paraId="67C0370D" w14:textId="476019E0" w:rsidR="00CE5A66" w:rsidRDefault="00D5109A" w:rsidP="00D5109A">
      <w:pPr>
        <w:ind w:left="2880" w:hanging="720"/>
      </w:pPr>
      <w:r>
        <w:t>A)</w:t>
      </w:r>
      <w:r>
        <w:tab/>
      </w:r>
      <w:r w:rsidR="00CE5A66">
        <w:t xml:space="preserve">Each fiscal year, a licensee shall pay an annual examination fee to the Department based upon the total dollar amount financed for all pawns during the previous calendar year, as reported to the Department pursuant to Section 10-60 of the Act [205 </w:t>
      </w:r>
      <w:proofErr w:type="spellStart"/>
      <w:r w:rsidR="00CE5A66">
        <w:t>ILCS</w:t>
      </w:r>
      <w:proofErr w:type="spellEnd"/>
      <w:r w:rsidR="00CE5A66">
        <w:t xml:space="preserve"> 511/10-60(a)(2)], at the following rates:</w:t>
      </w:r>
    </w:p>
    <w:p w14:paraId="0C27F045" w14:textId="10FE85FE" w:rsidR="00CE5A66" w:rsidRDefault="00CE5A66" w:rsidP="00CE5A66"/>
    <w:tbl>
      <w:tblPr>
        <w:tblW w:w="0" w:type="auto"/>
        <w:tblInd w:w="2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70"/>
        <w:gridCol w:w="2016"/>
        <w:gridCol w:w="2404"/>
      </w:tblGrid>
      <w:tr w:rsidR="00200023" w:rsidRPr="00270715" w14:paraId="50B17497" w14:textId="77777777" w:rsidTr="00A87D15">
        <w:trPr>
          <w:trHeight w:val="949"/>
        </w:trPr>
        <w:tc>
          <w:tcPr>
            <w:tcW w:w="2070" w:type="dxa"/>
          </w:tcPr>
          <w:p w14:paraId="73393345" w14:textId="77777777" w:rsidR="00CE5A66" w:rsidRPr="00270715" w:rsidRDefault="00CE5A66" w:rsidP="00270715">
            <w:pPr>
              <w:jc w:val="center"/>
              <w:rPr>
                <w:b/>
                <w:bCs/>
              </w:rPr>
            </w:pPr>
            <w:r w:rsidRPr="00270715">
              <w:rPr>
                <w:b/>
                <w:bCs/>
              </w:rPr>
              <w:t>TOTAL DOLLAR AMOUNT FINANCED</w:t>
            </w:r>
          </w:p>
        </w:tc>
        <w:tc>
          <w:tcPr>
            <w:tcW w:w="2016" w:type="dxa"/>
          </w:tcPr>
          <w:p w14:paraId="7470E4B6" w14:textId="74A20C2B" w:rsidR="00CE5A66" w:rsidRPr="00270715" w:rsidRDefault="00CE5A66" w:rsidP="00270715">
            <w:pPr>
              <w:jc w:val="center"/>
              <w:rPr>
                <w:b/>
                <w:bCs/>
              </w:rPr>
            </w:pPr>
            <w:r w:rsidRPr="00270715">
              <w:rPr>
                <w:b/>
                <w:bCs/>
              </w:rPr>
              <w:t>FISCAL YEAR 2026 EXAM FEE</w:t>
            </w:r>
          </w:p>
        </w:tc>
        <w:tc>
          <w:tcPr>
            <w:tcW w:w="2404" w:type="dxa"/>
          </w:tcPr>
          <w:p w14:paraId="2A0303B1" w14:textId="07B9CA28" w:rsidR="00CE5A66" w:rsidRPr="00270715" w:rsidRDefault="00CE5A66" w:rsidP="00270715">
            <w:pPr>
              <w:jc w:val="center"/>
              <w:rPr>
                <w:b/>
                <w:bCs/>
              </w:rPr>
            </w:pPr>
            <w:r w:rsidRPr="00270715">
              <w:rPr>
                <w:b/>
                <w:bCs/>
              </w:rPr>
              <w:t>FISCAL YEAR 2027 EXAM FEE AND BEYOND</w:t>
            </w:r>
          </w:p>
        </w:tc>
      </w:tr>
      <w:tr w:rsidR="00200023" w:rsidRPr="00270715" w14:paraId="5D49748B" w14:textId="77777777" w:rsidTr="0076049E">
        <w:trPr>
          <w:trHeight w:val="316"/>
        </w:trPr>
        <w:tc>
          <w:tcPr>
            <w:tcW w:w="2070" w:type="dxa"/>
          </w:tcPr>
          <w:p w14:paraId="42D2B626" w14:textId="77777777" w:rsidR="00CE5A66" w:rsidRPr="00270715" w:rsidRDefault="00CE5A66" w:rsidP="00270715">
            <w:pPr>
              <w:jc w:val="center"/>
            </w:pPr>
            <w:r w:rsidRPr="00270715">
              <w:t>$0-249,999</w:t>
            </w:r>
          </w:p>
        </w:tc>
        <w:tc>
          <w:tcPr>
            <w:tcW w:w="2016" w:type="dxa"/>
          </w:tcPr>
          <w:p w14:paraId="28A29BDC" w14:textId="77777777" w:rsidR="00CE5A66" w:rsidRPr="00270715" w:rsidRDefault="00CE5A66" w:rsidP="00270715">
            <w:pPr>
              <w:jc w:val="center"/>
            </w:pPr>
            <w:r w:rsidRPr="00270715">
              <w:t>$280</w:t>
            </w:r>
          </w:p>
        </w:tc>
        <w:tc>
          <w:tcPr>
            <w:tcW w:w="2404" w:type="dxa"/>
          </w:tcPr>
          <w:p w14:paraId="0142086A" w14:textId="77777777" w:rsidR="00CE5A66" w:rsidRPr="00270715" w:rsidRDefault="00CE5A66" w:rsidP="00270715">
            <w:pPr>
              <w:jc w:val="center"/>
            </w:pPr>
            <w:r w:rsidRPr="00270715">
              <w:t>$280</w:t>
            </w:r>
          </w:p>
        </w:tc>
      </w:tr>
      <w:tr w:rsidR="00200023" w:rsidRPr="00270715" w14:paraId="5D6FD649" w14:textId="77777777" w:rsidTr="0076049E">
        <w:trPr>
          <w:trHeight w:val="371"/>
        </w:trPr>
        <w:tc>
          <w:tcPr>
            <w:tcW w:w="2070" w:type="dxa"/>
          </w:tcPr>
          <w:p w14:paraId="6608CE83" w14:textId="77777777" w:rsidR="00CE5A66" w:rsidRPr="00270715" w:rsidRDefault="00CE5A66" w:rsidP="00270715">
            <w:pPr>
              <w:jc w:val="center"/>
            </w:pPr>
            <w:r w:rsidRPr="00270715">
              <w:t>$250,000 and above</w:t>
            </w:r>
          </w:p>
        </w:tc>
        <w:tc>
          <w:tcPr>
            <w:tcW w:w="2016" w:type="dxa"/>
          </w:tcPr>
          <w:p w14:paraId="7AE770F8" w14:textId="77777777" w:rsidR="00CE5A66" w:rsidRPr="00270715" w:rsidRDefault="00CE5A66" w:rsidP="00270715">
            <w:pPr>
              <w:jc w:val="center"/>
            </w:pPr>
            <w:r w:rsidRPr="00270715">
              <w:t>$530</w:t>
            </w:r>
          </w:p>
        </w:tc>
        <w:tc>
          <w:tcPr>
            <w:tcW w:w="2404" w:type="dxa"/>
          </w:tcPr>
          <w:p w14:paraId="1BE5E430" w14:textId="77777777" w:rsidR="00CE5A66" w:rsidRPr="00270715" w:rsidRDefault="00CE5A66" w:rsidP="00270715">
            <w:pPr>
              <w:jc w:val="center"/>
            </w:pPr>
            <w:r w:rsidRPr="00270715">
              <w:t>$530</w:t>
            </w:r>
          </w:p>
        </w:tc>
      </w:tr>
    </w:tbl>
    <w:p w14:paraId="267C87FC" w14:textId="77777777" w:rsidR="00CE5A66" w:rsidRPr="00200023" w:rsidRDefault="00CE5A66" w:rsidP="00CE5A66"/>
    <w:p w14:paraId="5B805FB5" w14:textId="7B5A808B" w:rsidR="00CE5A66" w:rsidRDefault="00D5109A" w:rsidP="00D5109A">
      <w:pPr>
        <w:ind w:left="2880" w:hanging="720"/>
      </w:pPr>
      <w:r>
        <w:lastRenderedPageBreak/>
        <w:t>B)</w:t>
      </w:r>
      <w:r>
        <w:tab/>
      </w:r>
      <w:r w:rsidR="00CE5A66">
        <w:t xml:space="preserve">For purposes of this subsection, </w:t>
      </w:r>
      <w:r w:rsidR="00200023">
        <w:t>"</w:t>
      </w:r>
      <w:r w:rsidR="00CE5A66">
        <w:t>fiscal year</w:t>
      </w:r>
      <w:r w:rsidR="00200023">
        <w:t>"</w:t>
      </w:r>
      <w:r w:rsidR="00CE5A66">
        <w:t xml:space="preserve"> means a period beginning on July 1 of any calendar year and ending on June 30 of the next calendar year.  </w:t>
      </w:r>
      <w:r w:rsidR="00CE5A66" w:rsidRPr="00A4417B">
        <w:t xml:space="preserve">All fees received pursuant to this Part </w:t>
      </w:r>
      <w:r w:rsidR="00CE5A66" w:rsidRPr="008D48CE">
        <w:rPr>
          <w:i/>
          <w:iCs/>
        </w:rPr>
        <w:t>shall be deposited in the Pawnbroker Regulation Fund</w:t>
      </w:r>
      <w:r w:rsidR="00CE5A66" w:rsidRPr="00A4417B">
        <w:t xml:space="preserve">. </w:t>
      </w:r>
      <w:r w:rsidR="008D48CE">
        <w:t xml:space="preserve">[205 </w:t>
      </w:r>
      <w:proofErr w:type="spellStart"/>
      <w:r w:rsidR="008D48CE">
        <w:t>ILCS</w:t>
      </w:r>
      <w:proofErr w:type="spellEnd"/>
      <w:r w:rsidR="008D48CE">
        <w:t xml:space="preserve"> 511/10-10] </w:t>
      </w:r>
      <w:r w:rsidR="00CE5A66" w:rsidRPr="00A4417B">
        <w:t>The fee for each fiscal year shall be due within 30 days after the start of each fiscal year.</w:t>
      </w:r>
    </w:p>
    <w:p w14:paraId="6A47CD0F" w14:textId="77777777" w:rsidR="00CE5A66" w:rsidRDefault="00CE5A66" w:rsidP="00823014"/>
    <w:p w14:paraId="2C39E6D0" w14:textId="45A26ADA" w:rsidR="00652C35" w:rsidRDefault="006C2A36" w:rsidP="00D47E10">
      <w:pPr>
        <w:ind w:left="1440" w:hanging="720"/>
      </w:pPr>
      <w:r>
        <w:t>b)</w:t>
      </w:r>
      <w:r>
        <w:tab/>
      </w:r>
      <w:r w:rsidR="00652C35">
        <w:t>A comprehensive fees schedule will be available on</w:t>
      </w:r>
      <w:r w:rsidR="00D16A4E" w:rsidRPr="00D16A4E">
        <w:t xml:space="preserve"> the NMLS website at </w:t>
      </w:r>
      <w:r w:rsidR="00D16A4E" w:rsidRPr="00EC19F9">
        <w:t xml:space="preserve">www.nmls.org </w:t>
      </w:r>
      <w:r w:rsidR="00D16A4E" w:rsidRPr="00D16A4E">
        <w:t>and/or on</w:t>
      </w:r>
      <w:r w:rsidR="00652C35">
        <w:t xml:space="preserve"> </w:t>
      </w:r>
      <w:r w:rsidR="00FB2A78">
        <w:t xml:space="preserve">the </w:t>
      </w:r>
      <w:r w:rsidR="00D16A4E">
        <w:t>Department</w:t>
      </w:r>
      <w:r w:rsidR="009A7B80">
        <w:t xml:space="preserve"> website at </w:t>
      </w:r>
      <w:r w:rsidR="00F9484A" w:rsidRPr="00F9484A">
        <w:t>www.idfpr.illinois.gov</w:t>
      </w:r>
      <w:r w:rsidR="00D47E10" w:rsidRPr="00C23589">
        <w:t xml:space="preserve"> </w:t>
      </w:r>
      <w:r w:rsidR="00C23589" w:rsidRPr="00C23589">
        <w:t>and</w:t>
      </w:r>
      <w:r w:rsidR="00652C35">
        <w:t xml:space="preserve"> can also be provided in hardcopy upon written request.</w:t>
      </w:r>
    </w:p>
    <w:p w14:paraId="4458974C" w14:textId="77777777" w:rsidR="008C7933" w:rsidRDefault="008C7933" w:rsidP="00691C08"/>
    <w:p w14:paraId="15B1215E" w14:textId="725DFBA9" w:rsidR="008C7933" w:rsidRPr="00D55B37" w:rsidRDefault="00200023">
      <w:pPr>
        <w:pStyle w:val="JCARSourceNote"/>
        <w:ind w:left="720"/>
      </w:pPr>
      <w:r w:rsidRPr="004E27CF">
        <w:t>(Source:  Amended at 4</w:t>
      </w:r>
      <w:r>
        <w:t>9</w:t>
      </w:r>
      <w:r w:rsidRPr="004E27CF">
        <w:t xml:space="preserve"> Ill. Reg. </w:t>
      </w:r>
      <w:r w:rsidR="00707856">
        <w:t>14602</w:t>
      </w:r>
      <w:r w:rsidRPr="004E27CF">
        <w:t xml:space="preserve">, effective </w:t>
      </w:r>
      <w:r w:rsidR="00707856">
        <w:t>October 29, 2025</w:t>
      </w:r>
      <w:r w:rsidRPr="004E27CF">
        <w:t>)</w:t>
      </w:r>
    </w:p>
    <w:sectPr w:rsidR="008C793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2555" w14:textId="77777777" w:rsidR="00D8026B" w:rsidRDefault="00D8026B">
      <w:r>
        <w:separator/>
      </w:r>
    </w:p>
  </w:endnote>
  <w:endnote w:type="continuationSeparator" w:id="0">
    <w:p w14:paraId="50CC0DB0" w14:textId="77777777" w:rsidR="00D8026B" w:rsidRDefault="00D8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D60F" w14:textId="77777777" w:rsidR="00D8026B" w:rsidRDefault="00D8026B">
      <w:r>
        <w:separator/>
      </w:r>
    </w:p>
  </w:footnote>
  <w:footnote w:type="continuationSeparator" w:id="0">
    <w:p w14:paraId="30FED5FA" w14:textId="77777777" w:rsidR="00D8026B" w:rsidRDefault="00D80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540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04D"/>
    <w:rsid w:val="00110A0B"/>
    <w:rsid w:val="00114190"/>
    <w:rsid w:val="0012221A"/>
    <w:rsid w:val="001328A0"/>
    <w:rsid w:val="0014104E"/>
    <w:rsid w:val="001433F3"/>
    <w:rsid w:val="00145C78"/>
    <w:rsid w:val="00146F30"/>
    <w:rsid w:val="00146FFB"/>
    <w:rsid w:val="00150221"/>
    <w:rsid w:val="0015097E"/>
    <w:rsid w:val="0015246A"/>
    <w:rsid w:val="001530F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023"/>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F34"/>
    <w:rsid w:val="00264AD1"/>
    <w:rsid w:val="002667B7"/>
    <w:rsid w:val="00267D8C"/>
    <w:rsid w:val="00270715"/>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0E5A"/>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FC2"/>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C8A"/>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6782B"/>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48C8"/>
    <w:rsid w:val="0050660E"/>
    <w:rsid w:val="005109B5"/>
    <w:rsid w:val="00512795"/>
    <w:rsid w:val="005161BF"/>
    <w:rsid w:val="00522FD6"/>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143C"/>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C3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692B"/>
    <w:rsid w:val="006B7535"/>
    <w:rsid w:val="006B7892"/>
    <w:rsid w:val="006C0FE8"/>
    <w:rsid w:val="006C2A36"/>
    <w:rsid w:val="006C45D5"/>
    <w:rsid w:val="006E00BF"/>
    <w:rsid w:val="006E1AE0"/>
    <w:rsid w:val="006E1F95"/>
    <w:rsid w:val="006E6D53"/>
    <w:rsid w:val="006F36BD"/>
    <w:rsid w:val="006F7BF8"/>
    <w:rsid w:val="00700FB4"/>
    <w:rsid w:val="00702A38"/>
    <w:rsid w:val="0070602C"/>
    <w:rsid w:val="00706857"/>
    <w:rsid w:val="00707856"/>
    <w:rsid w:val="00717DBE"/>
    <w:rsid w:val="00720025"/>
    <w:rsid w:val="007268A0"/>
    <w:rsid w:val="00727763"/>
    <w:rsid w:val="007278C5"/>
    <w:rsid w:val="00737469"/>
    <w:rsid w:val="00740393"/>
    <w:rsid w:val="00742136"/>
    <w:rsid w:val="00744356"/>
    <w:rsid w:val="00745353"/>
    <w:rsid w:val="00750400"/>
    <w:rsid w:val="0076049E"/>
    <w:rsid w:val="00763B6D"/>
    <w:rsid w:val="00765D64"/>
    <w:rsid w:val="00767D5A"/>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7EC1"/>
    <w:rsid w:val="00821428"/>
    <w:rsid w:val="00823014"/>
    <w:rsid w:val="0082307C"/>
    <w:rsid w:val="00824C15"/>
    <w:rsid w:val="00825696"/>
    <w:rsid w:val="00826E97"/>
    <w:rsid w:val="008271B1"/>
    <w:rsid w:val="00833A9E"/>
    <w:rsid w:val="0083540D"/>
    <w:rsid w:val="00837F88"/>
    <w:rsid w:val="008425C1"/>
    <w:rsid w:val="00843EB6"/>
    <w:rsid w:val="00844ABA"/>
    <w:rsid w:val="0084781C"/>
    <w:rsid w:val="00855AEC"/>
    <w:rsid w:val="00855F56"/>
    <w:rsid w:val="008570BA"/>
    <w:rsid w:val="00860ECA"/>
    <w:rsid w:val="00863AA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933"/>
    <w:rsid w:val="008D48CE"/>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B8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D15"/>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20C"/>
    <w:rsid w:val="00AF3304"/>
    <w:rsid w:val="00AF4757"/>
    <w:rsid w:val="00AF768C"/>
    <w:rsid w:val="00B01411"/>
    <w:rsid w:val="00B0458F"/>
    <w:rsid w:val="00B15156"/>
    <w:rsid w:val="00B15414"/>
    <w:rsid w:val="00B17273"/>
    <w:rsid w:val="00B17D78"/>
    <w:rsid w:val="00B23B52"/>
    <w:rsid w:val="00B23BB0"/>
    <w:rsid w:val="00B2411F"/>
    <w:rsid w:val="00B25B52"/>
    <w:rsid w:val="00B34F63"/>
    <w:rsid w:val="00B35D67"/>
    <w:rsid w:val="00B420C1"/>
    <w:rsid w:val="00B4287F"/>
    <w:rsid w:val="00B44A11"/>
    <w:rsid w:val="00B516F7"/>
    <w:rsid w:val="00B530BA"/>
    <w:rsid w:val="00B557AA"/>
    <w:rsid w:val="00B60443"/>
    <w:rsid w:val="00B620B6"/>
    <w:rsid w:val="00B649AC"/>
    <w:rsid w:val="00B66F59"/>
    <w:rsid w:val="00B678F1"/>
    <w:rsid w:val="00B71019"/>
    <w:rsid w:val="00B71177"/>
    <w:rsid w:val="00B72AB2"/>
    <w:rsid w:val="00B77077"/>
    <w:rsid w:val="00B817A1"/>
    <w:rsid w:val="00B839A1"/>
    <w:rsid w:val="00B83B6B"/>
    <w:rsid w:val="00B8428D"/>
    <w:rsid w:val="00B8444F"/>
    <w:rsid w:val="00B86B5A"/>
    <w:rsid w:val="00BA2E0F"/>
    <w:rsid w:val="00BB0A4F"/>
    <w:rsid w:val="00BB230E"/>
    <w:rsid w:val="00BB38E9"/>
    <w:rsid w:val="00BB6CAC"/>
    <w:rsid w:val="00BC000F"/>
    <w:rsid w:val="00BC00FF"/>
    <w:rsid w:val="00BD0ED2"/>
    <w:rsid w:val="00BD5933"/>
    <w:rsid w:val="00BE03CA"/>
    <w:rsid w:val="00BE40A3"/>
    <w:rsid w:val="00BE4B9C"/>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589"/>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B9E"/>
    <w:rsid w:val="00CA4D41"/>
    <w:rsid w:val="00CA4E7D"/>
    <w:rsid w:val="00CA7140"/>
    <w:rsid w:val="00CB065C"/>
    <w:rsid w:val="00CB1C46"/>
    <w:rsid w:val="00CB3DC9"/>
    <w:rsid w:val="00CC02D2"/>
    <w:rsid w:val="00CC13F9"/>
    <w:rsid w:val="00CC4FF8"/>
    <w:rsid w:val="00CC72D2"/>
    <w:rsid w:val="00CD3723"/>
    <w:rsid w:val="00CD5413"/>
    <w:rsid w:val="00CE01BF"/>
    <w:rsid w:val="00CE4292"/>
    <w:rsid w:val="00CE5A66"/>
    <w:rsid w:val="00D03A79"/>
    <w:rsid w:val="00D0676C"/>
    <w:rsid w:val="00D06DEE"/>
    <w:rsid w:val="00D10D50"/>
    <w:rsid w:val="00D151C8"/>
    <w:rsid w:val="00D16A4E"/>
    <w:rsid w:val="00D17DC3"/>
    <w:rsid w:val="00D2155A"/>
    <w:rsid w:val="00D27015"/>
    <w:rsid w:val="00D2776C"/>
    <w:rsid w:val="00D27E4E"/>
    <w:rsid w:val="00D32AA7"/>
    <w:rsid w:val="00D33832"/>
    <w:rsid w:val="00D46468"/>
    <w:rsid w:val="00D47E10"/>
    <w:rsid w:val="00D5109A"/>
    <w:rsid w:val="00D55B37"/>
    <w:rsid w:val="00D5634E"/>
    <w:rsid w:val="00D64B08"/>
    <w:rsid w:val="00D70D8F"/>
    <w:rsid w:val="00D76B84"/>
    <w:rsid w:val="00D77DCF"/>
    <w:rsid w:val="00D8026B"/>
    <w:rsid w:val="00D876AB"/>
    <w:rsid w:val="00D87E2A"/>
    <w:rsid w:val="00D90457"/>
    <w:rsid w:val="00D93C67"/>
    <w:rsid w:val="00D94587"/>
    <w:rsid w:val="00D97042"/>
    <w:rsid w:val="00D97549"/>
    <w:rsid w:val="00DA3644"/>
    <w:rsid w:val="00DB2CC7"/>
    <w:rsid w:val="00DB78E4"/>
    <w:rsid w:val="00DC016D"/>
    <w:rsid w:val="00DC505C"/>
    <w:rsid w:val="00DC5FDC"/>
    <w:rsid w:val="00DD0041"/>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083D"/>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9F9"/>
    <w:rsid w:val="00EC3846"/>
    <w:rsid w:val="00EC6C31"/>
    <w:rsid w:val="00ED0167"/>
    <w:rsid w:val="00ED1405"/>
    <w:rsid w:val="00ED1EED"/>
    <w:rsid w:val="00EE0A25"/>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712D"/>
    <w:rsid w:val="00F32DC4"/>
    <w:rsid w:val="00F410DA"/>
    <w:rsid w:val="00F43DEE"/>
    <w:rsid w:val="00F44D59"/>
    <w:rsid w:val="00F46DB5"/>
    <w:rsid w:val="00F50CD3"/>
    <w:rsid w:val="00F51039"/>
    <w:rsid w:val="00F525F7"/>
    <w:rsid w:val="00F73B7F"/>
    <w:rsid w:val="00F76C9F"/>
    <w:rsid w:val="00F82FB8"/>
    <w:rsid w:val="00F83011"/>
    <w:rsid w:val="00F8452A"/>
    <w:rsid w:val="00F86328"/>
    <w:rsid w:val="00F9393D"/>
    <w:rsid w:val="00F942E4"/>
    <w:rsid w:val="00F942E7"/>
    <w:rsid w:val="00F9484A"/>
    <w:rsid w:val="00F953D5"/>
    <w:rsid w:val="00F96704"/>
    <w:rsid w:val="00F97D67"/>
    <w:rsid w:val="00FA186E"/>
    <w:rsid w:val="00FA19DB"/>
    <w:rsid w:val="00FA3492"/>
    <w:rsid w:val="00FB1274"/>
    <w:rsid w:val="00FB2A78"/>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141BA"/>
  <w15:docId w15:val="{C570EF3F-703B-4742-B172-86036A28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652C35"/>
    <w:rPr>
      <w:color w:val="0000FF"/>
      <w:u w:val="single"/>
    </w:rPr>
  </w:style>
  <w:style w:type="paragraph" w:customStyle="1" w:styleId="TableParagraph">
    <w:name w:val="Table Paragraph"/>
    <w:basedOn w:val="Normal"/>
    <w:uiPriority w:val="1"/>
    <w:qFormat/>
    <w:rsid w:val="00CE5A66"/>
    <w:pPr>
      <w:widowControl w:val="0"/>
      <w:autoSpaceDE w:val="0"/>
      <w:autoSpaceDN w:val="0"/>
      <w:jc w:val="center"/>
    </w:pPr>
    <w:rPr>
      <w:sz w:val="22"/>
      <w:szCs w:val="22"/>
    </w:rPr>
  </w:style>
  <w:style w:type="character" w:styleId="UnresolvedMention">
    <w:name w:val="Unresolved Mention"/>
    <w:basedOn w:val="DefaultParagraphFont"/>
    <w:uiPriority w:val="99"/>
    <w:semiHidden/>
    <w:unhideWhenUsed/>
    <w:rsid w:val="00F9484A"/>
    <w:rPr>
      <w:color w:val="605E5C"/>
      <w:shd w:val="clear" w:color="auto" w:fill="E1DFDD"/>
    </w:rPr>
  </w:style>
  <w:style w:type="character" w:styleId="FollowedHyperlink">
    <w:name w:val="FollowedHyperlink"/>
    <w:basedOn w:val="DefaultParagraphFont"/>
    <w:semiHidden/>
    <w:unhideWhenUsed/>
    <w:rsid w:val="00F948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2025-10-27T16:22:00Z</dcterms:created>
  <dcterms:modified xsi:type="dcterms:W3CDTF">2025-11-17T13:57:00Z</dcterms:modified>
</cp:coreProperties>
</file>