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F6" w:rsidRDefault="000A2CF6" w:rsidP="000A2C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2CF6" w:rsidRDefault="000A2CF6" w:rsidP="000A2C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335.30  General Rule</w:t>
      </w:r>
      <w:r>
        <w:t xml:space="preserve"> </w:t>
      </w:r>
    </w:p>
    <w:p w:rsidR="000A2CF6" w:rsidRDefault="000A2CF6" w:rsidP="000A2CF6">
      <w:pPr>
        <w:widowControl w:val="0"/>
        <w:autoSpaceDE w:val="0"/>
        <w:autoSpaceDN w:val="0"/>
        <w:adjustRightInd w:val="0"/>
      </w:pPr>
    </w:p>
    <w:p w:rsidR="000A2CF6" w:rsidRDefault="000A2CF6" w:rsidP="000A2CF6">
      <w:pPr>
        <w:widowControl w:val="0"/>
        <w:autoSpaceDE w:val="0"/>
        <w:autoSpaceDN w:val="0"/>
        <w:adjustRightInd w:val="0"/>
      </w:pPr>
      <w:r>
        <w:t xml:space="preserve">For the purposes of Section 2 of the Illinois Banking Act, "unimpaired capital and unimpaired surplus" shall include the balance of the state bank's allowance for loan and lease losses not included in the state bank's Tier 1 Capital and Tier 2 Capital. </w:t>
      </w:r>
    </w:p>
    <w:sectPr w:rsidR="000A2CF6" w:rsidSect="000A2C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CF6"/>
    <w:rsid w:val="000A2CF6"/>
    <w:rsid w:val="005C3366"/>
    <w:rsid w:val="00923F52"/>
    <w:rsid w:val="00B1232E"/>
    <w:rsid w:val="00FC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