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B305" w14:textId="77777777" w:rsidR="00BE2075" w:rsidRDefault="00BE2075" w:rsidP="0060201F">
      <w:pPr>
        <w:widowControl w:val="0"/>
        <w:autoSpaceDE w:val="0"/>
        <w:autoSpaceDN w:val="0"/>
        <w:adjustRightInd w:val="0"/>
      </w:pPr>
    </w:p>
    <w:p w14:paraId="6D2D7864" w14:textId="66160150" w:rsidR="000174EB" w:rsidRPr="0060201F" w:rsidRDefault="0060201F" w:rsidP="00BE2075">
      <w:pPr>
        <w:widowControl w:val="0"/>
        <w:autoSpaceDE w:val="0"/>
        <w:autoSpaceDN w:val="0"/>
        <w:adjustRightInd w:val="0"/>
      </w:pPr>
      <w:r w:rsidRPr="0060201F">
        <w:t>AUTHORITY:  Implementing the Collection Agency Act [205 ILCS 740]</w:t>
      </w:r>
      <w:r w:rsidR="00734AD0">
        <w:t xml:space="preserve"> and authorized by Section 6 and 6a of the Financial Institutions Code [20 ILCS 1205]</w:t>
      </w:r>
      <w:r w:rsidRPr="0060201F">
        <w:t>.</w:t>
      </w:r>
    </w:p>
    <w:sectPr w:rsidR="000174EB" w:rsidRPr="006020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5F9E" w14:textId="77777777" w:rsidR="0060201F" w:rsidRDefault="0060201F">
      <w:r>
        <w:separator/>
      </w:r>
    </w:p>
  </w:endnote>
  <w:endnote w:type="continuationSeparator" w:id="0">
    <w:p w14:paraId="650D1435" w14:textId="77777777" w:rsidR="0060201F" w:rsidRDefault="0060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7943" w14:textId="77777777" w:rsidR="0060201F" w:rsidRDefault="0060201F">
      <w:r>
        <w:separator/>
      </w:r>
    </w:p>
  </w:footnote>
  <w:footnote w:type="continuationSeparator" w:id="0">
    <w:p w14:paraId="1D3DE354" w14:textId="77777777" w:rsidR="0060201F" w:rsidRDefault="00602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01F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AD0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12F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075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68CEE"/>
  <w15:chartTrackingRefBased/>
  <w15:docId w15:val="{CF4C88C7-5302-4AE6-A3E9-85BFCC77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129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4</cp:revision>
  <dcterms:created xsi:type="dcterms:W3CDTF">2023-07-28T20:57:00Z</dcterms:created>
  <dcterms:modified xsi:type="dcterms:W3CDTF">2023-11-09T14:45:00Z</dcterms:modified>
</cp:coreProperties>
</file>