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46" w:rsidRDefault="00762946" w:rsidP="007629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946" w:rsidRDefault="00762946" w:rsidP="007629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120.150  Annual Report Information</w:t>
      </w:r>
      <w:r>
        <w:t xml:space="preserve"> </w:t>
      </w:r>
    </w:p>
    <w:p w:rsidR="00762946" w:rsidRDefault="00762946" w:rsidP="00762946">
      <w:pPr>
        <w:widowControl w:val="0"/>
        <w:autoSpaceDE w:val="0"/>
        <w:autoSpaceDN w:val="0"/>
        <w:adjustRightInd w:val="0"/>
      </w:pPr>
    </w:p>
    <w:p w:rsidR="00762946" w:rsidRDefault="00762946" w:rsidP="00762946">
      <w:pPr>
        <w:widowControl w:val="0"/>
        <w:autoSpaceDE w:val="0"/>
        <w:autoSpaceDN w:val="0"/>
        <w:adjustRightInd w:val="0"/>
      </w:pPr>
      <w:r>
        <w:t xml:space="preserve">Each licensee shall maintain all transaction records necessary to provide the information requested by the Department on its Annual report forms. </w:t>
      </w:r>
    </w:p>
    <w:sectPr w:rsidR="00762946" w:rsidSect="00762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946"/>
    <w:rsid w:val="00184711"/>
    <w:rsid w:val="00290536"/>
    <w:rsid w:val="004C4E4D"/>
    <w:rsid w:val="005C3366"/>
    <w:rsid w:val="007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