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78" w:rsidRPr="004344CA" w:rsidRDefault="00CF3578" w:rsidP="00CF3578">
      <w:pPr>
        <w:rPr>
          <w:rFonts w:eastAsiaTheme="minorEastAsia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  <w:bookmarkStart w:id="0" w:name="_Hlk28936506"/>
      <w:r w:rsidRPr="004344CA">
        <w:rPr>
          <w:rFonts w:eastAsia="Times New Roman"/>
          <w:b/>
          <w:bCs/>
          <w:szCs w:val="20"/>
        </w:rPr>
        <w:t xml:space="preserve">Section 845.900  </w:t>
      </w:r>
      <w:r w:rsidRPr="004344CA">
        <w:rPr>
          <w:rFonts w:eastAsia="Times New Roman"/>
          <w:b/>
          <w:szCs w:val="20"/>
        </w:rPr>
        <w:t>General Provisions</w:t>
      </w:r>
    </w:p>
    <w:p w:rsidR="00CF3578" w:rsidRPr="004344CA" w:rsidRDefault="00CF3578" w:rsidP="00CF3578">
      <w:pPr>
        <w:widowControl w:val="0"/>
        <w:tabs>
          <w:tab w:val="left" w:pos="568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a)</w:t>
      </w:r>
      <w:r w:rsidRPr="004344CA">
        <w:rPr>
          <w:rFonts w:eastAsia="Times New Roman"/>
          <w:szCs w:val="20"/>
        </w:rPr>
        <w:tab/>
        <w:t>This Subpart provides procedures by which the owner or operator of a CCR surface impoundment subject to this Part provides financial assurance satisfying the requirements of Section 22.59(f) of the Act.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b)</w:t>
      </w:r>
      <w:r w:rsidRPr="004344CA">
        <w:rPr>
          <w:rFonts w:eastAsia="Times New Roman"/>
          <w:szCs w:val="20"/>
        </w:rPr>
        <w:tab/>
        <w:t>The owner or operator must provide financial assurance to ensure the following: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1)</w:t>
      </w:r>
      <w:r w:rsidRPr="004344CA">
        <w:rPr>
          <w:rFonts w:eastAsia="Times New Roman"/>
          <w:szCs w:val="20"/>
        </w:rPr>
        <w:tab/>
      </w:r>
      <w:r w:rsidR="00D04B2D">
        <w:rPr>
          <w:rFonts w:eastAsia="Times New Roman"/>
          <w:szCs w:val="20"/>
        </w:rPr>
        <w:t>C</w:t>
      </w:r>
      <w:r w:rsidRPr="004344CA">
        <w:rPr>
          <w:rFonts w:eastAsia="Times New Roman"/>
          <w:szCs w:val="20"/>
        </w:rPr>
        <w:t>ompletion of closure;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2)</w:t>
      </w:r>
      <w:r w:rsidRPr="004344CA">
        <w:rPr>
          <w:rFonts w:eastAsia="Times New Roman"/>
          <w:szCs w:val="20"/>
        </w:rPr>
        <w:tab/>
      </w:r>
      <w:r w:rsidR="00D04B2D">
        <w:rPr>
          <w:rFonts w:eastAsia="Times New Roman"/>
          <w:szCs w:val="20"/>
        </w:rPr>
        <w:t>C</w:t>
      </w:r>
      <w:r w:rsidRPr="004344CA">
        <w:rPr>
          <w:rFonts w:eastAsia="Times New Roman"/>
          <w:szCs w:val="20"/>
        </w:rPr>
        <w:t>ompletion of post-closure care, if applicable; and</w:t>
      </w:r>
    </w:p>
    <w:bookmarkEnd w:id="0"/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3)</w:t>
      </w:r>
      <w:r w:rsidRPr="004344CA">
        <w:rPr>
          <w:rFonts w:eastAsia="Times New Roman"/>
          <w:szCs w:val="20"/>
        </w:rPr>
        <w:tab/>
      </w:r>
      <w:r w:rsidR="00D04B2D">
        <w:rPr>
          <w:rFonts w:eastAsia="Times New Roman"/>
          <w:szCs w:val="20"/>
        </w:rPr>
        <w:t>R</w:t>
      </w:r>
      <w:r w:rsidRPr="004344CA">
        <w:rPr>
          <w:rFonts w:eastAsia="Times New Roman"/>
          <w:szCs w:val="20"/>
        </w:rPr>
        <w:t xml:space="preserve">emediation of releases from a CCR surface impoundment. 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c)</w:t>
      </w:r>
      <w:r w:rsidRPr="004344CA">
        <w:rPr>
          <w:rFonts w:eastAsia="Times New Roman"/>
          <w:szCs w:val="20"/>
        </w:rPr>
        <w:tab/>
        <w:t>The owner or operator must maintain financial assurance equal to or greater than the current cost estimates always calculated under Section 845.930, except as otherwise provided by Section 845.910.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d)</w:t>
      </w:r>
      <w:r w:rsidRPr="004344CA">
        <w:rPr>
          <w:rFonts w:eastAsia="Times New Roman"/>
          <w:szCs w:val="20"/>
        </w:rPr>
        <w:tab/>
        <w:t>Financial assurance must be provided by a trust agreement, a surety bond guaranteeing payment, a surety bond guaranteeing payment or performance, or an irrevocable letter of credit</w:t>
      </w:r>
      <w:r w:rsidR="00343110">
        <w:rPr>
          <w:rFonts w:eastAsia="Times New Roman"/>
          <w:szCs w:val="20"/>
        </w:rPr>
        <w:t xml:space="preserve"> (see </w:t>
      </w:r>
      <w:r w:rsidR="00343110" w:rsidRPr="004344CA">
        <w:rPr>
          <w:rFonts w:eastAsia="Times New Roman"/>
          <w:szCs w:val="20"/>
        </w:rPr>
        <w:t>Section 845.950</w:t>
      </w:r>
      <w:r w:rsidR="00343110">
        <w:rPr>
          <w:rFonts w:eastAsia="Times New Roman"/>
          <w:szCs w:val="20"/>
        </w:rPr>
        <w:t>)</w:t>
      </w:r>
      <w:r w:rsidRPr="004344CA">
        <w:rPr>
          <w:rFonts w:eastAsia="Times New Roman"/>
          <w:szCs w:val="20"/>
        </w:rPr>
        <w:t>.  The owner or operator must provide financial assurance to the Agency within the timeframe</w:t>
      </w:r>
      <w:r>
        <w:rPr>
          <w:rFonts w:eastAsia="Times New Roman"/>
          <w:szCs w:val="20"/>
        </w:rPr>
        <w:t>s</w:t>
      </w:r>
      <w:r w:rsidRPr="004344CA">
        <w:rPr>
          <w:rFonts w:eastAsia="Times New Roman"/>
          <w:szCs w:val="20"/>
        </w:rPr>
        <w:t xml:space="preserve"> in Section 845.950(c).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e)</w:t>
      </w:r>
      <w:r w:rsidRPr="004344CA">
        <w:rPr>
          <w:rFonts w:eastAsia="Times New Roman"/>
          <w:szCs w:val="20"/>
        </w:rPr>
        <w:tab/>
        <w:t>This Subpart does not apply to the State of Illinois, its agencies and institutions, any unit of local government, or any not-for-profit electric cooperative as defined in Section 3.4 of the Electric Supplier Act [220 ILCS 30].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f)</w:t>
      </w:r>
      <w:r w:rsidRPr="004344CA">
        <w:rPr>
          <w:rFonts w:eastAsia="Times New Roman"/>
          <w:szCs w:val="20"/>
        </w:rPr>
        <w:tab/>
        <w:t xml:space="preserve">The Agency is authorized to enter into contracts and agreements </w:t>
      </w:r>
      <w:bookmarkStart w:id="1" w:name="_GoBack"/>
      <w:bookmarkEnd w:id="1"/>
      <w:r w:rsidRPr="004344CA">
        <w:rPr>
          <w:rFonts w:eastAsia="Times New Roman"/>
          <w:szCs w:val="20"/>
        </w:rPr>
        <w:t xml:space="preserve">necessary to carry out the purposes of this Subpart and of Section 22.59(f) of the Act.  Neither the State, nor the Director of the Agency, nor any State employee </w:t>
      </w:r>
      <w:r w:rsidR="00D54E9A">
        <w:rPr>
          <w:rFonts w:eastAsia="Times New Roman"/>
          <w:szCs w:val="20"/>
        </w:rPr>
        <w:t>will</w:t>
      </w:r>
      <w:r w:rsidRPr="004344CA">
        <w:rPr>
          <w:rFonts w:eastAsia="Times New Roman"/>
          <w:szCs w:val="20"/>
        </w:rPr>
        <w:t xml:space="preserve"> be liable for any damages or injuries arising out of</w:t>
      </w:r>
      <w:r w:rsidR="00D04B2D">
        <w:rPr>
          <w:rFonts w:eastAsia="Times New Roman"/>
          <w:szCs w:val="20"/>
        </w:rPr>
        <w:t>,</w:t>
      </w:r>
      <w:r w:rsidRPr="004344CA">
        <w:rPr>
          <w:rFonts w:eastAsia="Times New Roman"/>
          <w:szCs w:val="20"/>
        </w:rPr>
        <w:t xml:space="preserve"> or resulting from</w:t>
      </w:r>
      <w:r w:rsidR="00D04B2D">
        <w:rPr>
          <w:rFonts w:eastAsia="Times New Roman"/>
          <w:szCs w:val="20"/>
        </w:rPr>
        <w:t>,</w:t>
      </w:r>
      <w:r w:rsidRPr="004344CA">
        <w:rPr>
          <w:rFonts w:eastAsia="Times New Roman"/>
          <w:szCs w:val="20"/>
        </w:rPr>
        <w:t xml:space="preserve"> any action taken under this Part.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g)</w:t>
      </w:r>
      <w:r w:rsidRPr="004344CA">
        <w:rPr>
          <w:rFonts w:eastAsia="Times New Roman"/>
          <w:szCs w:val="20"/>
        </w:rPr>
        <w:tab/>
        <w:t>The Agency may sue in any court of competent jurisdiction to enforce its rights under financial instruments.  The filing of an enforcement action before the Board is not a condition precedent to such an Agency action, except when this Subpart or the terms of the instrument provide otherwise.</w:t>
      </w:r>
    </w:p>
    <w:p w:rsidR="00CF3578" w:rsidRPr="004344CA" w:rsidRDefault="00CF3578" w:rsidP="007D362D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h)</w:t>
      </w:r>
      <w:r w:rsidRPr="004344CA">
        <w:rPr>
          <w:rFonts w:eastAsia="Times New Roman"/>
          <w:szCs w:val="20"/>
        </w:rPr>
        <w:tab/>
        <w:t>The Agency must have the authority to approve or disapprove any financial assurance mechanism posted or submitted under this Subpart.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i)</w:t>
      </w:r>
      <w:r w:rsidRPr="004344CA">
        <w:rPr>
          <w:rFonts w:eastAsia="Times New Roman"/>
          <w:szCs w:val="20"/>
        </w:rPr>
        <w:tab/>
        <w:t>The following Agency actions may be appealed to the Board as a permit denial under Section 845.270(e) and Section 22.59(f)(3) of the Act: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lastRenderedPageBreak/>
        <w:t>1)</w:t>
      </w:r>
      <w:r w:rsidRPr="004344CA">
        <w:rPr>
          <w:rFonts w:eastAsia="Times New Roman"/>
          <w:szCs w:val="20"/>
        </w:rPr>
        <w:tab/>
        <w:t>A refusal to accept financial assurance tendered by the owner or operator;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2)</w:t>
      </w:r>
      <w:r w:rsidRPr="004344CA">
        <w:rPr>
          <w:rFonts w:eastAsia="Times New Roman"/>
          <w:szCs w:val="20"/>
        </w:rPr>
        <w:tab/>
        <w:t>A refusal to release the owner or operator from the requirement to maintain financial assurance;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3)</w:t>
      </w:r>
      <w:r w:rsidRPr="004344CA">
        <w:rPr>
          <w:rFonts w:eastAsia="Times New Roman"/>
          <w:szCs w:val="20"/>
        </w:rPr>
        <w:tab/>
        <w:t>A refusal to release excess funds from a trust;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4)</w:t>
      </w:r>
      <w:r w:rsidRPr="004344CA">
        <w:rPr>
          <w:rFonts w:eastAsia="Times New Roman"/>
          <w:szCs w:val="20"/>
        </w:rPr>
        <w:tab/>
        <w:t>A refusal to approve a reduction in the penal sum of a bond; and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5)</w:t>
      </w:r>
      <w:r w:rsidRPr="004344CA">
        <w:rPr>
          <w:rFonts w:eastAsia="Times New Roman"/>
          <w:szCs w:val="20"/>
        </w:rPr>
        <w:tab/>
        <w:t>A refusal to approve a reduction in the amount of a letter of credit.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bookmarkStart w:id="2" w:name="_Hlk25650771"/>
      <w:r w:rsidRPr="004344CA">
        <w:rPr>
          <w:rFonts w:eastAsia="Times New Roman"/>
          <w:szCs w:val="20"/>
        </w:rPr>
        <w:t>j)</w:t>
      </w:r>
      <w:r w:rsidRPr="004344CA">
        <w:rPr>
          <w:rFonts w:eastAsia="Times New Roman"/>
          <w:szCs w:val="20"/>
        </w:rPr>
        <w:tab/>
        <w:t xml:space="preserve">An owner or operator must notify the Agency by certified mail of the </w:t>
      </w:r>
      <w:r w:rsidR="00A92FBC">
        <w:rPr>
          <w:rFonts w:eastAsia="Times New Roman"/>
          <w:szCs w:val="20"/>
        </w:rPr>
        <w:t>beginning</w:t>
      </w:r>
      <w:r w:rsidRPr="004344CA">
        <w:rPr>
          <w:rFonts w:eastAsia="Times New Roman"/>
          <w:szCs w:val="20"/>
        </w:rPr>
        <w:t xml:space="preserve"> of a voluntary or involuntary proceeding under Title 11 of the United States Code (Bankruptcy) naming any of the owners or operators as debtor, within 10 days after the proceeding</w:t>
      </w:r>
      <w:r w:rsidR="00A92FBC">
        <w:rPr>
          <w:rFonts w:eastAsia="Times New Roman"/>
          <w:szCs w:val="20"/>
        </w:rPr>
        <w:t xml:space="preserve"> starts</w:t>
      </w:r>
      <w:r w:rsidRPr="004344CA">
        <w:rPr>
          <w:rFonts w:eastAsia="Times New Roman"/>
          <w:szCs w:val="20"/>
        </w:rPr>
        <w:t>.</w:t>
      </w: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</w:rPr>
      </w:pPr>
    </w:p>
    <w:p w:rsidR="00CF3578" w:rsidRPr="004344CA" w:rsidRDefault="00CF3578" w:rsidP="00CF3578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rFonts w:eastAsia="Times New Roman"/>
          <w:szCs w:val="20"/>
        </w:rPr>
      </w:pPr>
      <w:r w:rsidRPr="004344CA">
        <w:rPr>
          <w:rFonts w:eastAsia="Times New Roman"/>
          <w:szCs w:val="20"/>
        </w:rPr>
        <w:t>k)</w:t>
      </w:r>
      <w:r w:rsidRPr="004344CA">
        <w:rPr>
          <w:rFonts w:eastAsia="Times New Roman"/>
          <w:szCs w:val="20"/>
        </w:rPr>
        <w:tab/>
        <w:t xml:space="preserve">An owner or operator that fulfills the requirements of Section 845.960, 845.970, 845.980, or 845.990 by obtaining a trust fund, surety bond, or letter of credit will be deemed to be without the required financial assurance in the event of bankruptcy of the trustee or issuing institution, or a suspension or revocation of the authority of the trustee institution to act as trustee or of the institution issuing the surety bond or letter of credit to issue </w:t>
      </w:r>
      <w:r w:rsidR="00D04B2D">
        <w:rPr>
          <w:rFonts w:eastAsia="Times New Roman"/>
          <w:szCs w:val="20"/>
        </w:rPr>
        <w:t>those</w:t>
      </w:r>
      <w:r w:rsidRPr="004344CA">
        <w:rPr>
          <w:rFonts w:eastAsia="Times New Roman"/>
          <w:szCs w:val="20"/>
        </w:rPr>
        <w:t xml:space="preserve"> instruments.  The owner or operator must establish alternative financial assurance within 60 days after such an event.</w:t>
      </w:r>
    </w:p>
    <w:bookmarkEnd w:id="2"/>
    <w:sectPr w:rsidR="00CF3578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BBD" w:rsidRDefault="00220BBD">
      <w:r>
        <w:separator/>
      </w:r>
    </w:p>
  </w:endnote>
  <w:endnote w:type="continuationSeparator" w:id="0">
    <w:p w:rsidR="00220BBD" w:rsidRDefault="0022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BBD" w:rsidRDefault="00220BBD">
      <w:r>
        <w:separator/>
      </w:r>
    </w:p>
  </w:footnote>
  <w:footnote w:type="continuationSeparator" w:id="0">
    <w:p w:rsidR="00220BBD" w:rsidRDefault="00220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B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B57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BBD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110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6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FBC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578"/>
    <w:rsid w:val="00D03A79"/>
    <w:rsid w:val="00D04B2D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4E9A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0AFBD-E874-4DF6-833A-41F85A5C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578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551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8</cp:revision>
  <dcterms:created xsi:type="dcterms:W3CDTF">2020-04-21T14:09:00Z</dcterms:created>
  <dcterms:modified xsi:type="dcterms:W3CDTF">2021-03-25T21:10:00Z</dcterms:modified>
</cp:coreProperties>
</file>