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37" w:rsidRDefault="00EF4137" w:rsidP="00EF413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808.APPENDIX B   Toxicity Hazard</w:t>
      </w:r>
      <w:r>
        <w:t xml:space="preserve"> </w:t>
      </w:r>
    </w:p>
    <w:p w:rsidR="00EF4137" w:rsidRDefault="00EF4137" w:rsidP="00EF4137">
      <w:pPr>
        <w:widowControl w:val="0"/>
        <w:autoSpaceDE w:val="0"/>
        <w:autoSpaceDN w:val="0"/>
        <w:adjustRightInd w:val="0"/>
      </w:pPr>
    </w:p>
    <w:p w:rsidR="00EF4137" w:rsidRDefault="00EF4137" w:rsidP="00EF4137">
      <w:pPr>
        <w:widowControl w:val="0"/>
        <w:autoSpaceDE w:val="0"/>
        <w:autoSpaceDN w:val="0"/>
        <w:adjustRightInd w:val="0"/>
      </w:pPr>
      <w:r>
        <w:t xml:space="preserve">This Appendix describes the method by which a generator of special waste or the waste source shall determine the toxic score for a waste. </w:t>
      </w:r>
    </w:p>
    <w:p w:rsidR="00EF4137" w:rsidRDefault="00EF4137" w:rsidP="00EF4137">
      <w:pPr>
        <w:widowControl w:val="0"/>
        <w:autoSpaceDE w:val="0"/>
        <w:autoSpaceDN w:val="0"/>
        <w:adjustRightInd w:val="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wastestream</w:t>
      </w:r>
      <w:proofErr w:type="spellEnd"/>
      <w:r>
        <w:t xml:space="preserve"> equivalent toxic concentration (</w:t>
      </w:r>
      <w:proofErr w:type="spellStart"/>
      <w:r>
        <w:t>Ceq</w:t>
      </w:r>
      <w:proofErr w:type="spellEnd"/>
      <w:r>
        <w:t xml:space="preserve">) is calculated as follows: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6" w:hanging="15"/>
      </w:pPr>
      <w:r>
        <w:tab/>
      </w:r>
      <w:proofErr w:type="spellStart"/>
      <w:r>
        <w:t>Ceq</w:t>
      </w:r>
      <w:proofErr w:type="spellEnd"/>
      <w:r>
        <w:t xml:space="preserve"> = A * SUM(</w:t>
      </w:r>
      <w:proofErr w:type="spellStart"/>
      <w:r>
        <w:t>Ci</w:t>
      </w:r>
      <w:proofErr w:type="spellEnd"/>
      <w:r>
        <w:t xml:space="preserve"> / Bi * Ti)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where: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SUM means the sum of the results of the calculation in parentheses for each component of the </w:t>
      </w:r>
      <w:proofErr w:type="spellStart"/>
      <w:r>
        <w:t>wastestream</w:t>
      </w:r>
      <w:proofErr w:type="spellEnd"/>
      <w:r>
        <w:t xml:space="preserve">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>
        <w:t>Ci</w:t>
      </w:r>
      <w:proofErr w:type="spellEnd"/>
      <w:r>
        <w:t xml:space="preserve"> is the concentration of component </w:t>
      </w:r>
      <w:proofErr w:type="spellStart"/>
      <w:r>
        <w:t>i</w:t>
      </w:r>
      <w:proofErr w:type="spellEnd"/>
      <w:r>
        <w:t xml:space="preserve"> as a percent of the waste by weight;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Ti is a measure of the toxicity of component </w:t>
      </w:r>
      <w:proofErr w:type="spellStart"/>
      <w:r>
        <w:t>i</w:t>
      </w:r>
      <w:proofErr w:type="spellEnd"/>
      <w:r>
        <w:t xml:space="preserve">, as provided in subsection (h);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is a constant equal to 300; and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BOARD NOTE:  A is a constant used to allow the entry of percent values for </w:t>
      </w:r>
      <w:proofErr w:type="spellStart"/>
      <w:r>
        <w:t>Ci</w:t>
      </w:r>
      <w:proofErr w:type="spellEnd"/>
      <w:r>
        <w:t xml:space="preserve">, and to adjust the results so that a reference material, 100 percent copper sulfate, with an oral toxicity of 300 mg/kg, achieves an equivalent toxic concentration of 100.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Bi is a conversion factor used to convert the toxicity of component </w:t>
      </w:r>
      <w:proofErr w:type="spellStart"/>
      <w:r>
        <w:t>i</w:t>
      </w:r>
      <w:proofErr w:type="spellEnd"/>
      <w:r>
        <w:t xml:space="preserve"> (Ti) to an equivalent oral toxicity.  Bi is determined from subsection (</w:t>
      </w:r>
      <w:proofErr w:type="spellStart"/>
      <w:r>
        <w:t>i</w:t>
      </w:r>
      <w:proofErr w:type="spellEnd"/>
      <w:r>
        <w:t xml:space="preserve">).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toxic amount (M) is calculated as follows:  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6" w:hanging="15"/>
      </w:pPr>
      <w:r>
        <w:tab/>
        <w:t xml:space="preserve">M = S * </w:t>
      </w:r>
      <w:proofErr w:type="spellStart"/>
      <w:r>
        <w:t>Ceq</w:t>
      </w:r>
      <w:proofErr w:type="spellEnd"/>
      <w:r>
        <w:t xml:space="preserve">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where: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 is the maximum size of a </w:t>
      </w:r>
      <w:proofErr w:type="spellStart"/>
      <w:r>
        <w:t>wastestream</w:t>
      </w:r>
      <w:proofErr w:type="spellEnd"/>
      <w:r>
        <w:t xml:space="preserve"> shipment in kg/month (Such maximum size shall be specified as a condition of the </w:t>
      </w:r>
      <w:proofErr w:type="spellStart"/>
      <w:r>
        <w:t>wastestream</w:t>
      </w:r>
      <w:proofErr w:type="spellEnd"/>
      <w:r>
        <w:t xml:space="preserve"> classification.); and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>
        <w:t>Ceq</w:t>
      </w:r>
      <w:proofErr w:type="spellEnd"/>
      <w:r>
        <w:t xml:space="preserve"> is the equivalent concentration from subsection (a).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toxic score is calculated as follows: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toxic amount (M) is less than 100, the toxic score is 0.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toxic amount is greater than or equal to 100 and less than 1000, the toxic score is 1.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toxic amount is greater than or equal to 1000 and less than 10,000, the toxic score is 2.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the toxic amount is greater than or equal to 10,000, the toxic score is 3.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BOARD NOTE:  100 kg/month of the reference material, 100 percent copper sulfate, has a "toxic amount" of 10,000, defining the </w:t>
      </w:r>
      <w:proofErr w:type="spellStart"/>
      <w:r>
        <w:t>boderline</w:t>
      </w:r>
      <w:proofErr w:type="spellEnd"/>
      <w:r>
        <w:t xml:space="preserve"> between a "toxic score" of 2 or 3 for a small quantity generator.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toxic score shall be used as follows: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toxic score is 0 or 3, the toxic score shall be used for the purposes of Section 808.245 without adjustment.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toxic score is 1 or 2, the toxic score shall be adjusted based on environmental fate, pursuant to subsections (e), (f) and (g).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environmental fate score (F) is calculated as follows: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6" w:hanging="15"/>
      </w:pPr>
      <w:r>
        <w:t>F = SUM(</w:t>
      </w:r>
      <w:proofErr w:type="spellStart"/>
      <w:r>
        <w:t>Ci</w:t>
      </w:r>
      <w:proofErr w:type="spellEnd"/>
      <w:r>
        <w:t xml:space="preserve"> * Li)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where: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SUM means the sum of the results of the calculation in parentheses for each component of the </w:t>
      </w:r>
      <w:proofErr w:type="spellStart"/>
      <w:r>
        <w:t>wastestream</w:t>
      </w:r>
      <w:proofErr w:type="spellEnd"/>
      <w:r>
        <w:t xml:space="preserve">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spellStart"/>
      <w:r>
        <w:t>Ci</w:t>
      </w:r>
      <w:proofErr w:type="spellEnd"/>
      <w:r>
        <w:t xml:space="preserve"> is the concentration of component </w:t>
      </w:r>
      <w:proofErr w:type="spellStart"/>
      <w:r>
        <w:t>i</w:t>
      </w:r>
      <w:proofErr w:type="spellEnd"/>
      <w:r>
        <w:t xml:space="preserve"> as a percent of the waste by weight; and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Li is the environmental level of component </w:t>
      </w:r>
      <w:proofErr w:type="spellStart"/>
      <w:r>
        <w:t>i</w:t>
      </w:r>
      <w:proofErr w:type="spellEnd"/>
      <w:r>
        <w:t xml:space="preserve">, as determined by subsection (j).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adjusted toxic score as follows: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environmental fate score (F) is less than 100, subtract 1 from the toxic score;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environmental fate score is greater than or equal to 100 and less than 200, the toxic score is not modified;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environmental fate score is greater than or equal to 200, add 1 to the toxic score.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Use the toxic score or adjusted toxic score calculated pursuant to subsections (b) through (f) for the purposes of Section 808.245.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Sources of toxicity data.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generator is required to provide information to substantiate that any waste is other than a type A waste.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Carcinogens and mutagens.  If available, use a TD50 oral rat to represent toxicity based on carcinogenicity and </w:t>
      </w:r>
      <w:proofErr w:type="spellStart"/>
      <w:r>
        <w:t>mutagenicity</w:t>
      </w:r>
      <w:proofErr w:type="spellEnd"/>
      <w:r>
        <w:t xml:space="preserve">.  Otherwise: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Carcinogens are assigned a Ti of 0.1 mg/kg; and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Mutagens are assigned a Ti of 0.6 mg/kg.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Toxicity values shall be selected according to the following criteria: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Toxicities are converted to equivalent oral toxicities as specified in subsection (</w:t>
      </w:r>
      <w:proofErr w:type="spellStart"/>
      <w:r>
        <w:t>i</w:t>
      </w:r>
      <w:proofErr w:type="spellEnd"/>
      <w:r>
        <w:t xml:space="preserve">);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Toxicity values are ranked by source according to the following priorities, with the sources listed in descending order of priority.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First oral rat; then inhalation rat; then dermal rabbit; then aquatic toxicity.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360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If data from the bases is unavailable, then other mammalian toxicity values;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360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If there is more than one toxicity value for the toxicity from the highest priority available source, the lowest (most toxic) equivalent oral toxicity value is used.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88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>Conversion factors for equivalent oral toxicities.  The following conversion factors must be used to convert toxicity values to equivalent oral toxicities (Bi) (If a carcinogen or mutagen is assigned a value for Ti in the absence of a TD</w:t>
      </w:r>
      <w:r w:rsidRPr="00891285">
        <w:rPr>
          <w:vertAlign w:val="subscript"/>
        </w:rPr>
        <w:t>50</w:t>
      </w:r>
      <w:r>
        <w:t xml:space="preserve">, Bi is assigned a value of 1.):  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7950" w:type="dxa"/>
        <w:tblInd w:w="1506" w:type="dxa"/>
        <w:tblBorders>
          <w:top w:val="dashed" w:sz="32" w:space="9" w:color="auto"/>
          <w:left w:val="single" w:sz="12" w:space="4" w:color="auto"/>
          <w:bottom w:val="dashed" w:sz="24" w:space="0" w:color="auto"/>
          <w:right w:val="dashed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4218"/>
        <w:gridCol w:w="2052"/>
        <w:gridCol w:w="1680"/>
      </w:tblGrid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Toxicity measure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Units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Bi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Oral – LD</w:t>
            </w:r>
            <w:r w:rsidRPr="00891285">
              <w:rPr>
                <w:vertAlign w:val="subscript"/>
              </w:rPr>
              <w:t>50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mg/kg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  <w:r>
              <w:t xml:space="preserve"> 1.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Carcinogen/mutagen – TD</w:t>
            </w:r>
            <w:r w:rsidRPr="00891285">
              <w:rPr>
                <w:vertAlign w:val="subscript"/>
              </w:rPr>
              <w:t>50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mg/kg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  <w:r>
              <w:t xml:space="preserve"> 1.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Aquatic – 48 or 96 hour LC</w:t>
            </w:r>
            <w:r w:rsidRPr="00891285">
              <w:rPr>
                <w:vertAlign w:val="subscript"/>
              </w:rPr>
              <w:t>50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ppm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  <w:r>
              <w:t xml:space="preserve"> 5.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Inhalation – LC</w:t>
            </w:r>
            <w:r w:rsidRPr="00891285">
              <w:rPr>
                <w:vertAlign w:val="subscript"/>
              </w:rPr>
              <w:t>50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mg/1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  <w:r>
              <w:t>25.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Dermal – LD</w:t>
            </w:r>
            <w:r w:rsidRPr="00891285">
              <w:rPr>
                <w:vertAlign w:val="subscript"/>
              </w:rPr>
              <w:t>50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</w:pPr>
            <w:r>
              <w:t>mg/kg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EF4137" w:rsidRDefault="00EF4137" w:rsidP="00EF4137">
            <w:pPr>
              <w:widowControl w:val="0"/>
              <w:tabs>
                <w:tab w:val="decimal" w:pos="147"/>
              </w:tabs>
              <w:autoSpaceDE w:val="0"/>
              <w:autoSpaceDN w:val="0"/>
              <w:adjustRightInd w:val="0"/>
            </w:pPr>
            <w:r>
              <w:t xml:space="preserve"> 0.25</w:t>
            </w:r>
          </w:p>
        </w:tc>
      </w:tr>
    </w:tbl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Environmental levels.  If the waste constituent is innocuous, the environmental level (Li) is equal to 0.  Otherwise, Li for a component is the highest level for that constituent in the following table, based on bioaccumulation, persistence and solubility.  (If a value on the boundary between ranges, the higher value of Li is used.):  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7737" w:type="dxa"/>
        <w:tblInd w:w="1704" w:type="dxa"/>
        <w:tblLayout w:type="fixed"/>
        <w:tblLook w:val="0000" w:firstRow="0" w:lastRow="0" w:firstColumn="0" w:lastColumn="0" w:noHBand="0" w:noVBand="0"/>
      </w:tblPr>
      <w:tblGrid>
        <w:gridCol w:w="1105"/>
        <w:gridCol w:w="1105"/>
        <w:gridCol w:w="13"/>
        <w:gridCol w:w="1092"/>
        <w:gridCol w:w="1074"/>
        <w:gridCol w:w="32"/>
        <w:gridCol w:w="1105"/>
        <w:gridCol w:w="1029"/>
        <w:gridCol w:w="76"/>
        <w:gridCol w:w="1106"/>
      </w:tblGrid>
      <w:tr w:rsidR="00EF4137">
        <w:tblPrEx>
          <w:tblCellMar>
            <w:top w:w="0" w:type="dxa"/>
            <w:bottom w:w="0" w:type="dxa"/>
          </w:tblCellMar>
        </w:tblPrEx>
        <w:tc>
          <w:tcPr>
            <w:tcW w:w="2223" w:type="dxa"/>
            <w:gridSpan w:val="3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Bioaccumulation</w:t>
            </w:r>
          </w:p>
        </w:tc>
        <w:tc>
          <w:tcPr>
            <w:tcW w:w="2166" w:type="dxa"/>
            <w:gridSpan w:val="2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Persistence</w:t>
            </w:r>
          </w:p>
        </w:tc>
        <w:tc>
          <w:tcPr>
            <w:tcW w:w="2166" w:type="dxa"/>
            <w:gridSpan w:val="3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Solubility</w:t>
            </w:r>
          </w:p>
        </w:tc>
        <w:tc>
          <w:tcPr>
            <w:tcW w:w="1182" w:type="dxa"/>
            <w:gridSpan w:val="2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Li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1105" w:type="dxa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Min.</w:t>
            </w:r>
          </w:p>
        </w:tc>
        <w:tc>
          <w:tcPr>
            <w:tcW w:w="1105" w:type="dxa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05" w:type="dxa"/>
            <w:gridSpan w:val="2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Min.</w:t>
            </w:r>
          </w:p>
        </w:tc>
        <w:tc>
          <w:tcPr>
            <w:tcW w:w="1106" w:type="dxa"/>
            <w:gridSpan w:val="2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05" w:type="dxa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Min.</w:t>
            </w:r>
          </w:p>
        </w:tc>
        <w:tc>
          <w:tcPr>
            <w:tcW w:w="1105" w:type="dxa"/>
            <w:gridSpan w:val="2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Max.</w:t>
            </w:r>
          </w:p>
        </w:tc>
        <w:tc>
          <w:tcPr>
            <w:tcW w:w="1106" w:type="dxa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05" w:type="dxa"/>
            <w:vAlign w:val="center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72" w:right="-90"/>
            </w:pPr>
            <w:r>
              <w:t>_ _ _</w:t>
            </w:r>
          </w:p>
        </w:tc>
        <w:tc>
          <w:tcPr>
            <w:tcW w:w="1105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243" w:right="306"/>
              <w:jc w:val="right"/>
            </w:pPr>
            <w:r>
              <w:t>365</w:t>
            </w:r>
          </w:p>
        </w:tc>
        <w:tc>
          <w:tcPr>
            <w:tcW w:w="1106" w:type="dxa"/>
            <w:gridSpan w:val="2"/>
            <w:vAlign w:val="center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153" w:right="233"/>
              <w:jc w:val="right"/>
            </w:pPr>
            <w:r>
              <w:t>_ _ _</w:t>
            </w:r>
          </w:p>
        </w:tc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99" w:right="170"/>
              <w:jc w:val="right"/>
            </w:pPr>
            <w:r>
              <w:t>10,000</w:t>
            </w:r>
          </w:p>
        </w:tc>
        <w:tc>
          <w:tcPr>
            <w:tcW w:w="1105" w:type="dxa"/>
            <w:gridSpan w:val="2"/>
            <w:vAlign w:val="center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90" w:right="161"/>
              <w:jc w:val="right"/>
            </w:pPr>
            <w:r>
              <w:t>_ _ _</w:t>
            </w:r>
          </w:p>
        </w:tc>
        <w:tc>
          <w:tcPr>
            <w:tcW w:w="1106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3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5</w:t>
            </w:r>
          </w:p>
        </w:tc>
        <w:tc>
          <w:tcPr>
            <w:tcW w:w="1105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243" w:right="306"/>
              <w:jc w:val="right"/>
            </w:pPr>
            <w:r>
              <w:t>30</w:t>
            </w:r>
          </w:p>
        </w:tc>
        <w:tc>
          <w:tcPr>
            <w:tcW w:w="1106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153" w:right="233"/>
              <w:jc w:val="right"/>
            </w:pPr>
            <w:r>
              <w:t>365</w:t>
            </w:r>
          </w:p>
        </w:tc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99" w:right="170"/>
              <w:jc w:val="right"/>
            </w:pPr>
            <w:r>
              <w:t>1000</w:t>
            </w:r>
          </w:p>
        </w:tc>
        <w:tc>
          <w:tcPr>
            <w:tcW w:w="1105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90" w:right="161"/>
              <w:jc w:val="right"/>
            </w:pPr>
            <w:r>
              <w:t>10,000</w:t>
            </w:r>
          </w:p>
        </w:tc>
        <w:tc>
          <w:tcPr>
            <w:tcW w:w="1106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2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>
              <w:t>4</w:t>
            </w:r>
          </w:p>
        </w:tc>
        <w:tc>
          <w:tcPr>
            <w:tcW w:w="1105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243" w:right="306"/>
              <w:jc w:val="right"/>
            </w:pPr>
            <w:r>
              <w:t>0</w:t>
            </w:r>
          </w:p>
        </w:tc>
        <w:tc>
          <w:tcPr>
            <w:tcW w:w="1106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153" w:right="233"/>
              <w:jc w:val="right"/>
            </w:pPr>
            <w:r>
              <w:t>30</w:t>
            </w:r>
          </w:p>
        </w:tc>
        <w:tc>
          <w:tcPr>
            <w:tcW w:w="1105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99" w:right="170"/>
              <w:jc w:val="right"/>
            </w:pPr>
            <w:r>
              <w:t>0</w:t>
            </w:r>
          </w:p>
        </w:tc>
        <w:tc>
          <w:tcPr>
            <w:tcW w:w="1105" w:type="dxa"/>
            <w:gridSpan w:val="2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90" w:right="161"/>
              <w:jc w:val="right"/>
            </w:pPr>
            <w:r>
              <w:t>1000</w:t>
            </w:r>
          </w:p>
        </w:tc>
        <w:tc>
          <w:tcPr>
            <w:tcW w:w="1106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-108" w:right="-90"/>
              <w:jc w:val="center"/>
            </w:pPr>
            <w:r>
              <w:t>1</w:t>
            </w:r>
          </w:p>
        </w:tc>
      </w:tr>
    </w:tbl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"Innocuous" waste constituents are those for which </w:t>
      </w:r>
      <w:proofErr w:type="spellStart"/>
      <w:r>
        <w:t>BiTi</w:t>
      </w:r>
      <w:proofErr w:type="spellEnd"/>
      <w:r>
        <w:t xml:space="preserve">, as determined pursuant to subsection (a), is greater than 5000 mg/kg.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Bioaccumulation is measured as the logarithm to the base 10 of the n-</w:t>
      </w:r>
      <w:proofErr w:type="spellStart"/>
      <w:r>
        <w:t>octanol</w:t>
      </w:r>
      <w:proofErr w:type="spellEnd"/>
      <w:r>
        <w:t xml:space="preserve">/water partition coefficient for the waste constituent, as measured pursuant to ASTM E 1147, incorporated by reference in Section 808.111.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Persistence is determined pursuant to subsection (k).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Solubility is measured as parts per million on a weight basis. Solubility may be measured pursuant to ASTM E 1148, incorporated by reference in Section 808.111.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Persistence.  If available, a value for persistence, measured, pursuant to subsection (k)(1), must be used.  Otherwise, the table of subsection (k)(2) must be used.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Persistence must be measured pursuant to ASTM E 896, incorporated by reference in Section 808.111.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Persistence may be estimated using the following table. (The longest half-life indicated must be used for constituents which fit into more than one category):   </w:t>
      </w:r>
    </w:p>
    <w:p w:rsidR="00EF4137" w:rsidRDefault="00EF4137" w:rsidP="00EF4137">
      <w:pPr>
        <w:widowControl w:val="0"/>
        <w:autoSpaceDE w:val="0"/>
        <w:autoSpaceDN w:val="0"/>
        <w:adjustRightInd w:val="0"/>
        <w:ind w:left="2160" w:hanging="720"/>
      </w:pPr>
    </w:p>
    <w:p w:rsidR="00EF4137" w:rsidRDefault="00EF4137" w:rsidP="00EF4137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151" w:type="dxa"/>
        <w:tblLook w:val="0000" w:firstRow="0" w:lastRow="0" w:firstColumn="0" w:lastColumn="0" w:noHBand="0" w:noVBand="0"/>
      </w:tblPr>
      <w:tblGrid>
        <w:gridCol w:w="4409"/>
        <w:gridCol w:w="1243"/>
      </w:tblGrid>
      <w:tr w:rsidR="004D6D25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409" w:type="dxa"/>
          </w:tcPr>
          <w:p w:rsidR="004D6D25" w:rsidRDefault="004D6D25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Type of Compound or Material</w:t>
            </w:r>
          </w:p>
        </w:tc>
        <w:tc>
          <w:tcPr>
            <w:tcW w:w="1243" w:type="dxa"/>
          </w:tcPr>
          <w:p w:rsidR="004D6D25" w:rsidRDefault="004D6D25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Half Life</w:t>
            </w:r>
          </w:p>
          <w:p w:rsidR="004D6D25" w:rsidRDefault="004D6D25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(days)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Metal, metal oxide or inorganic oxide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Inorganic salts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Asbestos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Clay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Plastics or polymers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Pesticides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Halogenated hydrocarbons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proofErr w:type="spellStart"/>
            <w:r>
              <w:t>Polyaromatic</w:t>
            </w:r>
            <w:proofErr w:type="spellEnd"/>
            <w:r>
              <w:t xml:space="preserve"> hydrocarbons and biphenyls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Phthalate esters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Paper products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Fats, oils and greases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Resins and pigments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 xml:space="preserve">Aromatic and </w:t>
            </w:r>
            <w:proofErr w:type="spellStart"/>
            <w:r>
              <w:t>alicyclic</w:t>
            </w:r>
            <w:proofErr w:type="spellEnd"/>
            <w:r>
              <w:t xml:space="preserve"> hydrocarbons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31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Aliphatic hydrocarbons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702"/>
            </w:pPr>
            <w:r>
              <w:t>More than 10 carbons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31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702"/>
            </w:pPr>
            <w:r>
              <w:t>10 carbons or less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</w:t>
            </w:r>
          </w:p>
        </w:tc>
      </w:tr>
      <w:tr w:rsidR="00EF4137">
        <w:tblPrEx>
          <w:tblCellMar>
            <w:top w:w="0" w:type="dxa"/>
            <w:bottom w:w="0" w:type="dxa"/>
          </w:tblCellMar>
        </w:tblPrEx>
        <w:tc>
          <w:tcPr>
            <w:tcW w:w="4409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ind w:left="27"/>
            </w:pPr>
            <w:r>
              <w:t>Waste constituents not otherwise listed</w:t>
            </w:r>
          </w:p>
        </w:tc>
        <w:tc>
          <w:tcPr>
            <w:tcW w:w="1243" w:type="dxa"/>
            <w:vAlign w:val="bottom"/>
          </w:tcPr>
          <w:p w:rsidR="00EF4137" w:rsidRDefault="00EF4137" w:rsidP="001D1A2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366</w:t>
            </w:r>
          </w:p>
        </w:tc>
      </w:tr>
    </w:tbl>
    <w:p w:rsidR="00EF4137" w:rsidRDefault="00EF4137" w:rsidP="00EF4137"/>
    <w:p w:rsidR="00213A7F" w:rsidRPr="00EF4137" w:rsidRDefault="00213A7F" w:rsidP="00EF4137"/>
    <w:sectPr w:rsidR="00213A7F" w:rsidRPr="00EF4137" w:rsidSect="00312F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A7F"/>
    <w:rsid w:val="001232B9"/>
    <w:rsid w:val="001C0802"/>
    <w:rsid w:val="001D1A2F"/>
    <w:rsid w:val="00213A7F"/>
    <w:rsid w:val="00312F46"/>
    <w:rsid w:val="003917BB"/>
    <w:rsid w:val="004D6D25"/>
    <w:rsid w:val="005C3366"/>
    <w:rsid w:val="00891285"/>
    <w:rsid w:val="00E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