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9CE" w:rsidRDefault="003A1200" w:rsidP="00F019CE">
      <w:pPr>
        <w:widowControl w:val="0"/>
        <w:autoSpaceDE w:val="0"/>
        <w:autoSpaceDN w:val="0"/>
        <w:adjustRightInd w:val="0"/>
      </w:pPr>
      <w:r>
        <w:rPr>
          <w:b/>
          <w:bCs/>
        </w:rPr>
        <w:br w:type="page"/>
      </w:r>
      <w:r w:rsidR="00F019CE">
        <w:rPr>
          <w:b/>
          <w:bCs/>
        </w:rPr>
        <w:lastRenderedPageBreak/>
        <w:t>Section 728.</w:t>
      </w:r>
      <w:r w:rsidR="00E4590C">
        <w:rPr>
          <w:b/>
          <w:bCs/>
        </w:rPr>
        <w:t>TABLE</w:t>
      </w:r>
      <w:r w:rsidR="00F019CE">
        <w:rPr>
          <w:b/>
          <w:bCs/>
        </w:rPr>
        <w:t xml:space="preserve"> I  Generator Paperwork Requirements</w:t>
      </w:r>
      <w:r w:rsidR="00F019CE">
        <w:t xml:space="preserve"> </w:t>
      </w:r>
    </w:p>
    <w:p w:rsidR="00F019CE" w:rsidRDefault="00F019CE" w:rsidP="00F019CE">
      <w:pPr>
        <w:widowControl w:val="0"/>
        <w:autoSpaceDE w:val="0"/>
        <w:autoSpaceDN w:val="0"/>
        <w:adjustRightInd w:val="0"/>
      </w:pPr>
    </w:p>
    <w:tbl>
      <w:tblPr>
        <w:tblW w:w="0" w:type="auto"/>
        <w:tblLayout w:type="fixed"/>
        <w:tblLook w:val="0000" w:firstRow="0" w:lastRow="0" w:firstColumn="0" w:lastColumn="0" w:noHBand="0" w:noVBand="0"/>
      </w:tblPr>
      <w:tblGrid>
        <w:gridCol w:w="5148"/>
        <w:gridCol w:w="1107"/>
        <w:gridCol w:w="1107"/>
        <w:gridCol w:w="1107"/>
        <w:gridCol w:w="1107"/>
      </w:tblGrid>
      <w:tr w:rsidR="008C21B3">
        <w:trPr>
          <w:cantSplit/>
        </w:trPr>
        <w:tc>
          <w:tcPr>
            <w:tcW w:w="5148" w:type="dxa"/>
          </w:tcPr>
          <w:p w:rsidR="008C21B3" w:rsidRDefault="008C21B3" w:rsidP="008C21B3">
            <w:pPr>
              <w:suppressAutoHyphens/>
            </w:pPr>
          </w:p>
        </w:tc>
        <w:tc>
          <w:tcPr>
            <w:tcW w:w="4428" w:type="dxa"/>
            <w:gridSpan w:val="4"/>
          </w:tcPr>
          <w:p w:rsidR="008C21B3" w:rsidRDefault="008C21B3" w:rsidP="008C21B3">
            <w:pPr>
              <w:suppressAutoHyphens/>
            </w:pPr>
            <w:r>
              <w:t>Subsection of Section 728.107 under Which the Paperwork is Required:</w:t>
            </w:r>
          </w:p>
        </w:tc>
      </w:tr>
      <w:tr w:rsidR="008C21B3">
        <w:trPr>
          <w:cantSplit/>
        </w:trPr>
        <w:tc>
          <w:tcPr>
            <w:tcW w:w="5148" w:type="dxa"/>
          </w:tcPr>
          <w:p w:rsidR="008C21B3" w:rsidRDefault="008C21B3" w:rsidP="005D642B">
            <w:pPr>
              <w:suppressAutoHyphens/>
            </w:pPr>
            <w:r>
              <w:t xml:space="preserve">Required </w:t>
            </w:r>
            <w:r w:rsidR="005D642B">
              <w:t>Information</w:t>
            </w:r>
          </w:p>
        </w:tc>
        <w:tc>
          <w:tcPr>
            <w:tcW w:w="1107" w:type="dxa"/>
          </w:tcPr>
          <w:p w:rsidR="008C21B3" w:rsidRDefault="008C21B3" w:rsidP="008C21B3">
            <w:pPr>
              <w:suppressAutoHyphens/>
              <w:jc w:val="center"/>
            </w:pPr>
            <w:r>
              <w:t>(a)(2)</w:t>
            </w:r>
          </w:p>
        </w:tc>
        <w:tc>
          <w:tcPr>
            <w:tcW w:w="1107" w:type="dxa"/>
          </w:tcPr>
          <w:p w:rsidR="008C21B3" w:rsidRDefault="008C21B3" w:rsidP="008C21B3">
            <w:pPr>
              <w:suppressAutoHyphens/>
              <w:jc w:val="center"/>
            </w:pPr>
            <w:r>
              <w:t>(a)(3)</w:t>
            </w:r>
          </w:p>
        </w:tc>
        <w:tc>
          <w:tcPr>
            <w:tcW w:w="1107" w:type="dxa"/>
          </w:tcPr>
          <w:p w:rsidR="008C21B3" w:rsidRDefault="008C21B3" w:rsidP="008C21B3">
            <w:pPr>
              <w:suppressAutoHyphens/>
              <w:jc w:val="center"/>
            </w:pPr>
            <w:r>
              <w:t>(a)(4)</w:t>
            </w:r>
          </w:p>
        </w:tc>
        <w:tc>
          <w:tcPr>
            <w:tcW w:w="1107" w:type="dxa"/>
          </w:tcPr>
          <w:p w:rsidR="008C21B3" w:rsidRDefault="008C21B3" w:rsidP="008C21B3">
            <w:pPr>
              <w:suppressAutoHyphens/>
              <w:jc w:val="center"/>
            </w:pPr>
            <w:r>
              <w:t>(a)(9)</w:t>
            </w:r>
          </w:p>
        </w:tc>
      </w:tr>
      <w:tr w:rsidR="008C21B3">
        <w:trPr>
          <w:cantSplit/>
        </w:trPr>
        <w:tc>
          <w:tcPr>
            <w:tcW w:w="5148" w:type="dxa"/>
          </w:tcPr>
          <w:p w:rsidR="008C21B3" w:rsidRDefault="008C21B3" w:rsidP="008C21B3">
            <w:pPr>
              <w:suppressAutoHyphens/>
            </w:pPr>
          </w:p>
        </w:tc>
        <w:tc>
          <w:tcPr>
            <w:tcW w:w="1107" w:type="dxa"/>
          </w:tcPr>
          <w:p w:rsidR="008C21B3" w:rsidRDefault="008C21B3" w:rsidP="008C21B3">
            <w:pPr>
              <w:suppressAutoHyphens/>
            </w:pPr>
          </w:p>
        </w:tc>
        <w:tc>
          <w:tcPr>
            <w:tcW w:w="1107" w:type="dxa"/>
          </w:tcPr>
          <w:p w:rsidR="008C21B3" w:rsidRDefault="008C21B3" w:rsidP="008C21B3">
            <w:pPr>
              <w:suppressAutoHyphens/>
            </w:pPr>
          </w:p>
        </w:tc>
        <w:tc>
          <w:tcPr>
            <w:tcW w:w="1107" w:type="dxa"/>
          </w:tcPr>
          <w:p w:rsidR="008C21B3" w:rsidRDefault="008C21B3" w:rsidP="008C21B3">
            <w:pPr>
              <w:suppressAutoHyphens/>
            </w:pPr>
          </w:p>
        </w:tc>
        <w:tc>
          <w:tcPr>
            <w:tcW w:w="1107" w:type="dxa"/>
          </w:tcPr>
          <w:p w:rsidR="008C21B3" w:rsidRDefault="008C21B3" w:rsidP="008C21B3">
            <w:pPr>
              <w:suppressAutoHyphens/>
            </w:pPr>
          </w:p>
        </w:tc>
      </w:tr>
      <w:tr w:rsidR="008C21B3">
        <w:trPr>
          <w:cantSplit/>
        </w:trPr>
        <w:tc>
          <w:tcPr>
            <w:tcW w:w="5148" w:type="dxa"/>
          </w:tcPr>
          <w:p w:rsidR="008C21B3" w:rsidRDefault="008C21B3" w:rsidP="008C21B3">
            <w:pPr>
              <w:suppressAutoHyphens/>
            </w:pPr>
            <w:r>
              <w:t>1. USEPA hazardous waste numbers and manifest number of first shipment</w:t>
            </w:r>
          </w:p>
        </w:tc>
        <w:tc>
          <w:tcPr>
            <w:tcW w:w="1107" w:type="dxa"/>
          </w:tcPr>
          <w:p w:rsidR="008C21B3" w:rsidRDefault="008C21B3" w:rsidP="008C21B3">
            <w:pPr>
              <w:suppressAutoHyphens/>
              <w:jc w:val="center"/>
            </w:pPr>
            <w:r>
              <w:sym w:font="Wingdings" w:char="F0FC"/>
            </w:r>
          </w:p>
        </w:tc>
        <w:tc>
          <w:tcPr>
            <w:tcW w:w="1107" w:type="dxa"/>
          </w:tcPr>
          <w:p w:rsidR="008C21B3" w:rsidRDefault="008C21B3" w:rsidP="008C21B3">
            <w:pPr>
              <w:suppressAutoHyphens/>
              <w:jc w:val="center"/>
            </w:pPr>
            <w:r>
              <w:sym w:font="Wingdings" w:char="F0FC"/>
            </w:r>
          </w:p>
        </w:tc>
        <w:tc>
          <w:tcPr>
            <w:tcW w:w="1107" w:type="dxa"/>
          </w:tcPr>
          <w:p w:rsidR="008C21B3" w:rsidRDefault="008C21B3" w:rsidP="008C21B3">
            <w:pPr>
              <w:suppressAutoHyphens/>
              <w:jc w:val="center"/>
            </w:pPr>
            <w:r>
              <w:sym w:font="Wingdings" w:char="F0FC"/>
            </w:r>
          </w:p>
        </w:tc>
        <w:tc>
          <w:tcPr>
            <w:tcW w:w="1107" w:type="dxa"/>
          </w:tcPr>
          <w:p w:rsidR="008C21B3" w:rsidRDefault="008C21B3" w:rsidP="008C21B3">
            <w:pPr>
              <w:suppressAutoHyphens/>
              <w:jc w:val="center"/>
            </w:pPr>
            <w:r>
              <w:sym w:font="Wingdings" w:char="F0FC"/>
            </w:r>
          </w:p>
        </w:tc>
      </w:tr>
      <w:tr w:rsidR="008C21B3">
        <w:trPr>
          <w:cantSplit/>
        </w:trPr>
        <w:tc>
          <w:tcPr>
            <w:tcW w:w="5148" w:type="dxa"/>
          </w:tcPr>
          <w:p w:rsidR="008C21B3" w:rsidRDefault="008C21B3" w:rsidP="008C21B3">
            <w:pPr>
              <w:suppressAutoHyphens/>
            </w:pPr>
          </w:p>
        </w:tc>
        <w:tc>
          <w:tcPr>
            <w:tcW w:w="1107" w:type="dxa"/>
          </w:tcPr>
          <w:p w:rsidR="008C21B3" w:rsidRDefault="008C21B3" w:rsidP="008C21B3">
            <w:pPr>
              <w:suppressAutoHyphens/>
              <w:jc w:val="center"/>
            </w:pPr>
          </w:p>
        </w:tc>
        <w:tc>
          <w:tcPr>
            <w:tcW w:w="1107" w:type="dxa"/>
          </w:tcPr>
          <w:p w:rsidR="008C21B3" w:rsidRDefault="008C21B3" w:rsidP="008C21B3">
            <w:pPr>
              <w:suppressAutoHyphens/>
              <w:jc w:val="center"/>
            </w:pPr>
          </w:p>
        </w:tc>
        <w:tc>
          <w:tcPr>
            <w:tcW w:w="1107" w:type="dxa"/>
          </w:tcPr>
          <w:p w:rsidR="008C21B3" w:rsidRDefault="008C21B3" w:rsidP="008C21B3">
            <w:pPr>
              <w:suppressAutoHyphens/>
              <w:jc w:val="center"/>
            </w:pPr>
          </w:p>
        </w:tc>
        <w:tc>
          <w:tcPr>
            <w:tcW w:w="1107" w:type="dxa"/>
          </w:tcPr>
          <w:p w:rsidR="008C21B3" w:rsidRDefault="008C21B3" w:rsidP="008C21B3">
            <w:pPr>
              <w:suppressAutoHyphens/>
              <w:jc w:val="center"/>
            </w:pPr>
          </w:p>
        </w:tc>
      </w:tr>
      <w:tr w:rsidR="008C21B3">
        <w:trPr>
          <w:cantSplit/>
        </w:trPr>
        <w:tc>
          <w:tcPr>
            <w:tcW w:w="5148" w:type="dxa"/>
          </w:tcPr>
          <w:p w:rsidR="008C21B3" w:rsidRDefault="008C21B3" w:rsidP="008C21B3">
            <w:pPr>
              <w:suppressAutoHyphens/>
            </w:pPr>
            <w:r>
              <w:t>2. Statement:  this waste is not prohibited from land disposal</w:t>
            </w:r>
          </w:p>
        </w:tc>
        <w:tc>
          <w:tcPr>
            <w:tcW w:w="1107" w:type="dxa"/>
          </w:tcPr>
          <w:p w:rsidR="008C21B3" w:rsidRDefault="008C21B3" w:rsidP="008C21B3">
            <w:pPr>
              <w:suppressAutoHyphens/>
              <w:jc w:val="center"/>
            </w:pPr>
          </w:p>
        </w:tc>
        <w:tc>
          <w:tcPr>
            <w:tcW w:w="1107" w:type="dxa"/>
          </w:tcPr>
          <w:p w:rsidR="008C21B3" w:rsidRDefault="008C21B3" w:rsidP="008C21B3">
            <w:pPr>
              <w:suppressAutoHyphens/>
              <w:jc w:val="center"/>
            </w:pPr>
          </w:p>
        </w:tc>
        <w:tc>
          <w:tcPr>
            <w:tcW w:w="1107" w:type="dxa"/>
          </w:tcPr>
          <w:p w:rsidR="008C21B3" w:rsidRDefault="008C21B3" w:rsidP="008C21B3">
            <w:pPr>
              <w:suppressAutoHyphens/>
              <w:jc w:val="center"/>
            </w:pPr>
            <w:r>
              <w:sym w:font="Wingdings" w:char="F0FC"/>
            </w:r>
          </w:p>
        </w:tc>
        <w:tc>
          <w:tcPr>
            <w:tcW w:w="1107" w:type="dxa"/>
          </w:tcPr>
          <w:p w:rsidR="008C21B3" w:rsidRDefault="008C21B3" w:rsidP="008C21B3">
            <w:pPr>
              <w:suppressAutoHyphens/>
              <w:jc w:val="center"/>
            </w:pPr>
          </w:p>
        </w:tc>
      </w:tr>
      <w:tr w:rsidR="008C21B3">
        <w:trPr>
          <w:cantSplit/>
        </w:trPr>
        <w:tc>
          <w:tcPr>
            <w:tcW w:w="5148" w:type="dxa"/>
          </w:tcPr>
          <w:p w:rsidR="008C21B3" w:rsidRDefault="008C21B3" w:rsidP="008C21B3">
            <w:pPr>
              <w:suppressAutoHyphens/>
            </w:pPr>
          </w:p>
        </w:tc>
        <w:tc>
          <w:tcPr>
            <w:tcW w:w="1107" w:type="dxa"/>
          </w:tcPr>
          <w:p w:rsidR="008C21B3" w:rsidRDefault="008C21B3" w:rsidP="008C21B3">
            <w:pPr>
              <w:suppressAutoHyphens/>
              <w:jc w:val="center"/>
            </w:pPr>
          </w:p>
        </w:tc>
        <w:tc>
          <w:tcPr>
            <w:tcW w:w="1107" w:type="dxa"/>
          </w:tcPr>
          <w:p w:rsidR="008C21B3" w:rsidRDefault="008C21B3" w:rsidP="008C21B3">
            <w:pPr>
              <w:suppressAutoHyphens/>
              <w:jc w:val="center"/>
            </w:pPr>
          </w:p>
        </w:tc>
        <w:tc>
          <w:tcPr>
            <w:tcW w:w="1107" w:type="dxa"/>
          </w:tcPr>
          <w:p w:rsidR="008C21B3" w:rsidRDefault="008C21B3" w:rsidP="008C21B3">
            <w:pPr>
              <w:suppressAutoHyphens/>
              <w:jc w:val="center"/>
            </w:pPr>
          </w:p>
        </w:tc>
        <w:tc>
          <w:tcPr>
            <w:tcW w:w="1107" w:type="dxa"/>
          </w:tcPr>
          <w:p w:rsidR="008C21B3" w:rsidRDefault="008C21B3" w:rsidP="008C21B3">
            <w:pPr>
              <w:suppressAutoHyphens/>
              <w:jc w:val="center"/>
            </w:pPr>
          </w:p>
        </w:tc>
      </w:tr>
      <w:tr w:rsidR="008C21B3">
        <w:trPr>
          <w:cantSplit/>
        </w:trPr>
        <w:tc>
          <w:tcPr>
            <w:tcW w:w="5148" w:type="dxa"/>
          </w:tcPr>
          <w:p w:rsidR="008C21B3" w:rsidRDefault="008C21B3" w:rsidP="008C21B3">
            <w:pPr>
              <w:suppressAutoHyphens/>
            </w:pPr>
            <w:r>
              <w:t>3. The waste is subject to the LDRs. The constituents of concern for USEPA hazardous waste numbers F001 through F005 and F039 waste, and underlying hazardous constituents in characteristic waste, unless the waste will be treated and monitored for all constituents. If all constituents will be treated and monitored, there is no need to put them all on the LDR notice</w:t>
            </w:r>
          </w:p>
        </w:tc>
        <w:tc>
          <w:tcPr>
            <w:tcW w:w="1107" w:type="dxa"/>
          </w:tcPr>
          <w:p w:rsidR="008C21B3" w:rsidRDefault="008C21B3" w:rsidP="008C21B3">
            <w:pPr>
              <w:suppressAutoHyphens/>
              <w:jc w:val="center"/>
            </w:pPr>
            <w:r>
              <w:sym w:font="Wingdings" w:char="F0FC"/>
            </w:r>
          </w:p>
        </w:tc>
        <w:tc>
          <w:tcPr>
            <w:tcW w:w="1107" w:type="dxa"/>
          </w:tcPr>
          <w:p w:rsidR="008C21B3" w:rsidRDefault="008C21B3" w:rsidP="008C21B3">
            <w:pPr>
              <w:suppressAutoHyphens/>
              <w:jc w:val="center"/>
            </w:pPr>
            <w:r>
              <w:sym w:font="Wingdings" w:char="F0FC"/>
            </w:r>
          </w:p>
        </w:tc>
        <w:tc>
          <w:tcPr>
            <w:tcW w:w="1107" w:type="dxa"/>
          </w:tcPr>
          <w:p w:rsidR="008C21B3" w:rsidRDefault="008C21B3" w:rsidP="008C21B3">
            <w:pPr>
              <w:suppressAutoHyphens/>
              <w:jc w:val="center"/>
            </w:pPr>
          </w:p>
        </w:tc>
        <w:tc>
          <w:tcPr>
            <w:tcW w:w="1107" w:type="dxa"/>
          </w:tcPr>
          <w:p w:rsidR="008C21B3" w:rsidRDefault="008C21B3" w:rsidP="008C21B3">
            <w:pPr>
              <w:suppressAutoHyphens/>
              <w:jc w:val="center"/>
            </w:pPr>
          </w:p>
        </w:tc>
      </w:tr>
      <w:tr w:rsidR="008C21B3">
        <w:trPr>
          <w:cantSplit/>
        </w:trPr>
        <w:tc>
          <w:tcPr>
            <w:tcW w:w="5148" w:type="dxa"/>
          </w:tcPr>
          <w:p w:rsidR="008C21B3" w:rsidRDefault="008C21B3" w:rsidP="008C21B3">
            <w:pPr>
              <w:suppressAutoHyphens/>
            </w:pPr>
          </w:p>
        </w:tc>
        <w:tc>
          <w:tcPr>
            <w:tcW w:w="1107" w:type="dxa"/>
          </w:tcPr>
          <w:p w:rsidR="008C21B3" w:rsidRDefault="008C21B3" w:rsidP="008C21B3">
            <w:pPr>
              <w:suppressAutoHyphens/>
              <w:jc w:val="center"/>
            </w:pPr>
          </w:p>
        </w:tc>
        <w:tc>
          <w:tcPr>
            <w:tcW w:w="1107" w:type="dxa"/>
          </w:tcPr>
          <w:p w:rsidR="008C21B3" w:rsidRDefault="008C21B3" w:rsidP="008C21B3">
            <w:pPr>
              <w:suppressAutoHyphens/>
              <w:jc w:val="center"/>
            </w:pPr>
          </w:p>
        </w:tc>
        <w:tc>
          <w:tcPr>
            <w:tcW w:w="1107" w:type="dxa"/>
          </w:tcPr>
          <w:p w:rsidR="008C21B3" w:rsidRDefault="008C21B3" w:rsidP="008C21B3">
            <w:pPr>
              <w:suppressAutoHyphens/>
              <w:jc w:val="center"/>
            </w:pPr>
          </w:p>
        </w:tc>
        <w:tc>
          <w:tcPr>
            <w:tcW w:w="1107" w:type="dxa"/>
          </w:tcPr>
          <w:p w:rsidR="008C21B3" w:rsidRDefault="008C21B3" w:rsidP="008C21B3">
            <w:pPr>
              <w:suppressAutoHyphens/>
              <w:jc w:val="center"/>
            </w:pPr>
          </w:p>
        </w:tc>
      </w:tr>
      <w:tr w:rsidR="008C21B3">
        <w:trPr>
          <w:cantSplit/>
        </w:trPr>
        <w:tc>
          <w:tcPr>
            <w:tcW w:w="5148" w:type="dxa"/>
          </w:tcPr>
          <w:p w:rsidR="008C21B3" w:rsidRDefault="008C21B3" w:rsidP="00E4590C">
            <w:pPr>
              <w:suppressAutoHyphens/>
            </w:pPr>
            <w:r>
              <w:t xml:space="preserve">4. The notice must include the applicable wastewater/nonwastewater category (see Section 728.102(d) and (f)) and subdivisions made within a </w:t>
            </w:r>
            <w:r w:rsidR="00FF5404">
              <w:t xml:space="preserve">USEPA hazardous </w:t>
            </w:r>
            <w:r>
              <w:t xml:space="preserve">waste </w:t>
            </w:r>
            <w:r w:rsidR="00FF5404">
              <w:t>number</w:t>
            </w:r>
            <w:r>
              <w:t xml:space="preserve"> based on waste-specific criteria (such as D003 reactive cyanide)</w:t>
            </w:r>
          </w:p>
        </w:tc>
        <w:tc>
          <w:tcPr>
            <w:tcW w:w="1107" w:type="dxa"/>
          </w:tcPr>
          <w:p w:rsidR="008C21B3" w:rsidRDefault="008C21B3" w:rsidP="008C21B3">
            <w:pPr>
              <w:suppressAutoHyphens/>
              <w:jc w:val="center"/>
            </w:pPr>
            <w:r>
              <w:sym w:font="Wingdings" w:char="F0FC"/>
            </w:r>
          </w:p>
        </w:tc>
        <w:tc>
          <w:tcPr>
            <w:tcW w:w="1107" w:type="dxa"/>
          </w:tcPr>
          <w:p w:rsidR="008C21B3" w:rsidRDefault="008C21B3" w:rsidP="008C21B3">
            <w:pPr>
              <w:suppressAutoHyphens/>
              <w:jc w:val="center"/>
            </w:pPr>
            <w:r>
              <w:sym w:font="Wingdings" w:char="F0FC"/>
            </w:r>
          </w:p>
        </w:tc>
        <w:tc>
          <w:tcPr>
            <w:tcW w:w="1107" w:type="dxa"/>
          </w:tcPr>
          <w:p w:rsidR="008C21B3" w:rsidRDefault="008C21B3" w:rsidP="008C21B3">
            <w:pPr>
              <w:suppressAutoHyphens/>
              <w:jc w:val="center"/>
            </w:pPr>
          </w:p>
        </w:tc>
        <w:tc>
          <w:tcPr>
            <w:tcW w:w="1107" w:type="dxa"/>
          </w:tcPr>
          <w:p w:rsidR="008C21B3" w:rsidRDefault="008C21B3" w:rsidP="008C21B3">
            <w:pPr>
              <w:suppressAutoHyphens/>
              <w:jc w:val="center"/>
            </w:pPr>
          </w:p>
        </w:tc>
      </w:tr>
      <w:tr w:rsidR="008C21B3">
        <w:trPr>
          <w:cantSplit/>
        </w:trPr>
        <w:tc>
          <w:tcPr>
            <w:tcW w:w="5148" w:type="dxa"/>
          </w:tcPr>
          <w:p w:rsidR="008C21B3" w:rsidRDefault="008C21B3" w:rsidP="008C21B3">
            <w:pPr>
              <w:suppressAutoHyphens/>
            </w:pPr>
          </w:p>
        </w:tc>
        <w:tc>
          <w:tcPr>
            <w:tcW w:w="1107" w:type="dxa"/>
          </w:tcPr>
          <w:p w:rsidR="008C21B3" w:rsidRDefault="008C21B3" w:rsidP="008C21B3">
            <w:pPr>
              <w:suppressAutoHyphens/>
              <w:jc w:val="center"/>
            </w:pPr>
          </w:p>
        </w:tc>
        <w:tc>
          <w:tcPr>
            <w:tcW w:w="1107" w:type="dxa"/>
          </w:tcPr>
          <w:p w:rsidR="008C21B3" w:rsidRDefault="008C21B3" w:rsidP="008C21B3">
            <w:pPr>
              <w:suppressAutoHyphens/>
              <w:jc w:val="center"/>
            </w:pPr>
          </w:p>
        </w:tc>
        <w:tc>
          <w:tcPr>
            <w:tcW w:w="1107" w:type="dxa"/>
          </w:tcPr>
          <w:p w:rsidR="008C21B3" w:rsidRDefault="008C21B3" w:rsidP="008C21B3">
            <w:pPr>
              <w:suppressAutoHyphens/>
              <w:jc w:val="center"/>
            </w:pPr>
          </w:p>
        </w:tc>
        <w:tc>
          <w:tcPr>
            <w:tcW w:w="1107" w:type="dxa"/>
          </w:tcPr>
          <w:p w:rsidR="008C21B3" w:rsidRDefault="008C21B3" w:rsidP="008C21B3">
            <w:pPr>
              <w:suppressAutoHyphens/>
              <w:jc w:val="center"/>
            </w:pPr>
          </w:p>
        </w:tc>
      </w:tr>
      <w:tr w:rsidR="008C21B3">
        <w:trPr>
          <w:cantSplit/>
        </w:trPr>
        <w:tc>
          <w:tcPr>
            <w:tcW w:w="5148" w:type="dxa"/>
          </w:tcPr>
          <w:p w:rsidR="008C21B3" w:rsidRDefault="008C21B3" w:rsidP="008C21B3">
            <w:pPr>
              <w:suppressAutoHyphens/>
            </w:pPr>
            <w:r>
              <w:t>5. Waste analysis data (when available)</w:t>
            </w:r>
          </w:p>
        </w:tc>
        <w:tc>
          <w:tcPr>
            <w:tcW w:w="1107" w:type="dxa"/>
          </w:tcPr>
          <w:p w:rsidR="008C21B3" w:rsidRDefault="008C21B3" w:rsidP="008C21B3">
            <w:pPr>
              <w:suppressAutoHyphens/>
              <w:jc w:val="center"/>
            </w:pPr>
            <w:r>
              <w:sym w:font="Wingdings" w:char="F0FC"/>
            </w:r>
          </w:p>
        </w:tc>
        <w:tc>
          <w:tcPr>
            <w:tcW w:w="1107" w:type="dxa"/>
          </w:tcPr>
          <w:p w:rsidR="008C21B3" w:rsidRDefault="008C21B3" w:rsidP="008C21B3">
            <w:pPr>
              <w:suppressAutoHyphens/>
              <w:jc w:val="center"/>
            </w:pPr>
            <w:r>
              <w:sym w:font="Wingdings" w:char="F0FC"/>
            </w:r>
          </w:p>
        </w:tc>
        <w:tc>
          <w:tcPr>
            <w:tcW w:w="1107" w:type="dxa"/>
          </w:tcPr>
          <w:p w:rsidR="008C21B3" w:rsidRDefault="008C21B3" w:rsidP="008C21B3">
            <w:pPr>
              <w:suppressAutoHyphens/>
              <w:jc w:val="center"/>
            </w:pPr>
            <w:r>
              <w:sym w:font="Wingdings" w:char="F0FC"/>
            </w:r>
          </w:p>
        </w:tc>
        <w:tc>
          <w:tcPr>
            <w:tcW w:w="1107" w:type="dxa"/>
          </w:tcPr>
          <w:p w:rsidR="008C21B3" w:rsidRDefault="008C21B3" w:rsidP="008C21B3">
            <w:pPr>
              <w:suppressAutoHyphens/>
              <w:jc w:val="center"/>
            </w:pPr>
          </w:p>
        </w:tc>
      </w:tr>
      <w:tr w:rsidR="008C21B3">
        <w:trPr>
          <w:cantSplit/>
        </w:trPr>
        <w:tc>
          <w:tcPr>
            <w:tcW w:w="5148" w:type="dxa"/>
          </w:tcPr>
          <w:p w:rsidR="008C21B3" w:rsidRDefault="008C21B3" w:rsidP="008C21B3">
            <w:pPr>
              <w:suppressAutoHyphens/>
            </w:pPr>
          </w:p>
        </w:tc>
        <w:tc>
          <w:tcPr>
            <w:tcW w:w="1107" w:type="dxa"/>
          </w:tcPr>
          <w:p w:rsidR="008C21B3" w:rsidRDefault="008C21B3" w:rsidP="008C21B3">
            <w:pPr>
              <w:suppressAutoHyphens/>
              <w:jc w:val="center"/>
            </w:pPr>
          </w:p>
        </w:tc>
        <w:tc>
          <w:tcPr>
            <w:tcW w:w="1107" w:type="dxa"/>
          </w:tcPr>
          <w:p w:rsidR="008C21B3" w:rsidRDefault="008C21B3" w:rsidP="008C21B3">
            <w:pPr>
              <w:suppressAutoHyphens/>
              <w:jc w:val="center"/>
            </w:pPr>
          </w:p>
        </w:tc>
        <w:tc>
          <w:tcPr>
            <w:tcW w:w="1107" w:type="dxa"/>
          </w:tcPr>
          <w:p w:rsidR="008C21B3" w:rsidRDefault="008C21B3" w:rsidP="008C21B3">
            <w:pPr>
              <w:suppressAutoHyphens/>
              <w:jc w:val="center"/>
            </w:pPr>
          </w:p>
        </w:tc>
        <w:tc>
          <w:tcPr>
            <w:tcW w:w="1107" w:type="dxa"/>
          </w:tcPr>
          <w:p w:rsidR="008C21B3" w:rsidRDefault="008C21B3" w:rsidP="008C21B3">
            <w:pPr>
              <w:suppressAutoHyphens/>
              <w:jc w:val="center"/>
            </w:pPr>
          </w:p>
        </w:tc>
      </w:tr>
      <w:tr w:rsidR="008C21B3">
        <w:trPr>
          <w:cantSplit/>
        </w:trPr>
        <w:tc>
          <w:tcPr>
            <w:tcW w:w="5148" w:type="dxa"/>
          </w:tcPr>
          <w:p w:rsidR="008C21B3" w:rsidRDefault="008C21B3" w:rsidP="008C21B3">
            <w:pPr>
              <w:suppressAutoHyphens/>
            </w:pPr>
            <w:r>
              <w:t>6. Date the waste is subject to the prohibition</w:t>
            </w:r>
          </w:p>
        </w:tc>
        <w:tc>
          <w:tcPr>
            <w:tcW w:w="1107" w:type="dxa"/>
          </w:tcPr>
          <w:p w:rsidR="008C21B3" w:rsidRDefault="008C21B3" w:rsidP="008C21B3">
            <w:pPr>
              <w:suppressAutoHyphens/>
              <w:jc w:val="center"/>
            </w:pPr>
          </w:p>
        </w:tc>
        <w:tc>
          <w:tcPr>
            <w:tcW w:w="1107" w:type="dxa"/>
          </w:tcPr>
          <w:p w:rsidR="008C21B3" w:rsidRDefault="008C21B3" w:rsidP="008C21B3">
            <w:pPr>
              <w:suppressAutoHyphens/>
              <w:jc w:val="center"/>
            </w:pPr>
          </w:p>
        </w:tc>
        <w:tc>
          <w:tcPr>
            <w:tcW w:w="1107" w:type="dxa"/>
          </w:tcPr>
          <w:p w:rsidR="008C21B3" w:rsidRDefault="008C21B3" w:rsidP="008C21B3">
            <w:pPr>
              <w:suppressAutoHyphens/>
              <w:jc w:val="center"/>
            </w:pPr>
            <w:r>
              <w:sym w:font="Wingdings" w:char="F0FC"/>
            </w:r>
          </w:p>
        </w:tc>
        <w:tc>
          <w:tcPr>
            <w:tcW w:w="1107" w:type="dxa"/>
          </w:tcPr>
          <w:p w:rsidR="008C21B3" w:rsidRDefault="008C21B3" w:rsidP="008C21B3">
            <w:pPr>
              <w:suppressAutoHyphens/>
              <w:jc w:val="center"/>
            </w:pPr>
          </w:p>
        </w:tc>
      </w:tr>
      <w:tr w:rsidR="008C21B3">
        <w:trPr>
          <w:cantSplit/>
        </w:trPr>
        <w:tc>
          <w:tcPr>
            <w:tcW w:w="5148" w:type="dxa"/>
          </w:tcPr>
          <w:p w:rsidR="008C21B3" w:rsidRDefault="008C21B3" w:rsidP="008C21B3">
            <w:pPr>
              <w:suppressAutoHyphens/>
            </w:pPr>
          </w:p>
        </w:tc>
        <w:tc>
          <w:tcPr>
            <w:tcW w:w="1107" w:type="dxa"/>
          </w:tcPr>
          <w:p w:rsidR="008C21B3" w:rsidRDefault="008C21B3" w:rsidP="008C21B3">
            <w:pPr>
              <w:suppressAutoHyphens/>
              <w:jc w:val="center"/>
            </w:pPr>
          </w:p>
        </w:tc>
        <w:tc>
          <w:tcPr>
            <w:tcW w:w="1107" w:type="dxa"/>
          </w:tcPr>
          <w:p w:rsidR="008C21B3" w:rsidRDefault="008C21B3" w:rsidP="008C21B3">
            <w:pPr>
              <w:suppressAutoHyphens/>
              <w:jc w:val="center"/>
            </w:pPr>
          </w:p>
        </w:tc>
        <w:tc>
          <w:tcPr>
            <w:tcW w:w="1107" w:type="dxa"/>
          </w:tcPr>
          <w:p w:rsidR="008C21B3" w:rsidRDefault="008C21B3" w:rsidP="008C21B3">
            <w:pPr>
              <w:suppressAutoHyphens/>
              <w:jc w:val="center"/>
            </w:pPr>
          </w:p>
        </w:tc>
        <w:tc>
          <w:tcPr>
            <w:tcW w:w="1107" w:type="dxa"/>
          </w:tcPr>
          <w:p w:rsidR="008C21B3" w:rsidRDefault="008C21B3" w:rsidP="008C21B3">
            <w:pPr>
              <w:suppressAutoHyphens/>
              <w:jc w:val="center"/>
            </w:pPr>
          </w:p>
        </w:tc>
      </w:tr>
      <w:tr w:rsidR="008C21B3">
        <w:trPr>
          <w:cantSplit/>
        </w:trPr>
        <w:tc>
          <w:tcPr>
            <w:tcW w:w="5148" w:type="dxa"/>
          </w:tcPr>
          <w:p w:rsidR="008C21B3" w:rsidRDefault="008C21B3" w:rsidP="008C21B3">
            <w:pPr>
              <w:suppressAutoHyphens/>
            </w:pPr>
            <w:r>
              <w:t>7. For hazardous debris, when treating with the alternative treatment technologies provided by Section 728.145:  the contaminants subject to treatment, as described in Section 728.145(b); and an indication that these contaminants are being treated to comply with Section 728.145</w:t>
            </w:r>
          </w:p>
        </w:tc>
        <w:tc>
          <w:tcPr>
            <w:tcW w:w="1107" w:type="dxa"/>
          </w:tcPr>
          <w:p w:rsidR="008C21B3" w:rsidRDefault="008C21B3" w:rsidP="008C21B3">
            <w:pPr>
              <w:suppressAutoHyphens/>
              <w:jc w:val="center"/>
            </w:pPr>
            <w:r>
              <w:sym w:font="Wingdings" w:char="F0FC"/>
            </w:r>
          </w:p>
        </w:tc>
        <w:tc>
          <w:tcPr>
            <w:tcW w:w="1107" w:type="dxa"/>
          </w:tcPr>
          <w:p w:rsidR="008C21B3" w:rsidRDefault="008C21B3" w:rsidP="008C21B3">
            <w:pPr>
              <w:suppressAutoHyphens/>
              <w:jc w:val="center"/>
            </w:pPr>
          </w:p>
        </w:tc>
        <w:tc>
          <w:tcPr>
            <w:tcW w:w="1107" w:type="dxa"/>
          </w:tcPr>
          <w:p w:rsidR="008C21B3" w:rsidRDefault="008C21B3" w:rsidP="008C21B3">
            <w:pPr>
              <w:suppressAutoHyphens/>
              <w:jc w:val="center"/>
            </w:pPr>
            <w:r>
              <w:sym w:font="Wingdings" w:char="F0FC"/>
            </w:r>
          </w:p>
        </w:tc>
        <w:tc>
          <w:tcPr>
            <w:tcW w:w="1107" w:type="dxa"/>
          </w:tcPr>
          <w:p w:rsidR="008C21B3" w:rsidRDefault="008C21B3" w:rsidP="008C21B3">
            <w:pPr>
              <w:suppressAutoHyphens/>
              <w:jc w:val="center"/>
            </w:pPr>
          </w:p>
        </w:tc>
      </w:tr>
      <w:tr w:rsidR="008C21B3">
        <w:trPr>
          <w:cantSplit/>
        </w:trPr>
        <w:tc>
          <w:tcPr>
            <w:tcW w:w="5148" w:type="dxa"/>
          </w:tcPr>
          <w:p w:rsidR="008C21B3" w:rsidRDefault="008C21B3" w:rsidP="008C21B3">
            <w:pPr>
              <w:suppressAutoHyphens/>
            </w:pPr>
          </w:p>
        </w:tc>
        <w:tc>
          <w:tcPr>
            <w:tcW w:w="1107" w:type="dxa"/>
          </w:tcPr>
          <w:p w:rsidR="008C21B3" w:rsidRDefault="008C21B3" w:rsidP="008C21B3">
            <w:pPr>
              <w:suppressAutoHyphens/>
              <w:jc w:val="center"/>
            </w:pPr>
          </w:p>
        </w:tc>
        <w:tc>
          <w:tcPr>
            <w:tcW w:w="1107" w:type="dxa"/>
          </w:tcPr>
          <w:p w:rsidR="008C21B3" w:rsidRDefault="008C21B3" w:rsidP="008C21B3">
            <w:pPr>
              <w:suppressAutoHyphens/>
              <w:jc w:val="center"/>
            </w:pPr>
          </w:p>
        </w:tc>
        <w:tc>
          <w:tcPr>
            <w:tcW w:w="1107" w:type="dxa"/>
          </w:tcPr>
          <w:p w:rsidR="008C21B3" w:rsidRDefault="008C21B3" w:rsidP="008C21B3">
            <w:pPr>
              <w:suppressAutoHyphens/>
              <w:jc w:val="center"/>
            </w:pPr>
          </w:p>
        </w:tc>
        <w:tc>
          <w:tcPr>
            <w:tcW w:w="1107" w:type="dxa"/>
          </w:tcPr>
          <w:p w:rsidR="008C21B3" w:rsidRDefault="008C21B3" w:rsidP="008C21B3">
            <w:pPr>
              <w:suppressAutoHyphens/>
              <w:jc w:val="center"/>
            </w:pPr>
          </w:p>
        </w:tc>
      </w:tr>
      <w:tr w:rsidR="008C21B3">
        <w:trPr>
          <w:cantSplit/>
        </w:trPr>
        <w:tc>
          <w:tcPr>
            <w:tcW w:w="5148" w:type="dxa"/>
          </w:tcPr>
          <w:p w:rsidR="008C21B3" w:rsidRDefault="008C21B3" w:rsidP="008C21B3">
            <w:pPr>
              <w:suppressAutoHyphens/>
            </w:pPr>
            <w:r>
              <w:lastRenderedPageBreak/>
              <w:t>8. For contaminated soil subject to LDRs as provided in Section 728.149(a), the constituents subject to treatment as described in Section 728.149(d), and the following statement:  This contaminated soil (does/does not) contain listed hazardous waste and (does/does not) exhibit a characteristic of hazardous waste and (is subject to/complies with) the soil treatment standards as provided by Section 728.149(c) or the universal treatment standards</w:t>
            </w:r>
          </w:p>
        </w:tc>
        <w:tc>
          <w:tcPr>
            <w:tcW w:w="1107" w:type="dxa"/>
          </w:tcPr>
          <w:p w:rsidR="008C21B3" w:rsidRDefault="008C21B3" w:rsidP="008C21B3">
            <w:pPr>
              <w:suppressAutoHyphens/>
              <w:jc w:val="center"/>
            </w:pPr>
            <w:r>
              <w:sym w:font="Wingdings" w:char="F0FC"/>
            </w:r>
          </w:p>
        </w:tc>
        <w:tc>
          <w:tcPr>
            <w:tcW w:w="1107" w:type="dxa"/>
          </w:tcPr>
          <w:p w:rsidR="008C21B3" w:rsidRDefault="008C21B3" w:rsidP="008C21B3">
            <w:pPr>
              <w:suppressAutoHyphens/>
              <w:jc w:val="center"/>
            </w:pPr>
            <w:r>
              <w:sym w:font="Wingdings" w:char="F0FC"/>
            </w:r>
          </w:p>
        </w:tc>
        <w:tc>
          <w:tcPr>
            <w:tcW w:w="1107" w:type="dxa"/>
          </w:tcPr>
          <w:p w:rsidR="008C21B3" w:rsidRDefault="008C21B3" w:rsidP="008C21B3">
            <w:pPr>
              <w:suppressAutoHyphens/>
              <w:jc w:val="center"/>
            </w:pPr>
          </w:p>
        </w:tc>
        <w:tc>
          <w:tcPr>
            <w:tcW w:w="1107" w:type="dxa"/>
          </w:tcPr>
          <w:p w:rsidR="008C21B3" w:rsidRDefault="008C21B3" w:rsidP="008C21B3">
            <w:pPr>
              <w:suppressAutoHyphens/>
              <w:jc w:val="center"/>
            </w:pPr>
          </w:p>
        </w:tc>
      </w:tr>
      <w:tr w:rsidR="008C21B3">
        <w:trPr>
          <w:cantSplit/>
        </w:trPr>
        <w:tc>
          <w:tcPr>
            <w:tcW w:w="5148" w:type="dxa"/>
          </w:tcPr>
          <w:p w:rsidR="008C21B3" w:rsidRDefault="008C21B3" w:rsidP="008C21B3">
            <w:pPr>
              <w:suppressAutoHyphens/>
            </w:pPr>
          </w:p>
        </w:tc>
        <w:tc>
          <w:tcPr>
            <w:tcW w:w="1107" w:type="dxa"/>
          </w:tcPr>
          <w:p w:rsidR="008C21B3" w:rsidRDefault="008C21B3" w:rsidP="008C21B3">
            <w:pPr>
              <w:suppressAutoHyphens/>
              <w:jc w:val="center"/>
            </w:pPr>
          </w:p>
        </w:tc>
        <w:tc>
          <w:tcPr>
            <w:tcW w:w="1107" w:type="dxa"/>
          </w:tcPr>
          <w:p w:rsidR="008C21B3" w:rsidRDefault="008C21B3" w:rsidP="008C21B3">
            <w:pPr>
              <w:suppressAutoHyphens/>
              <w:jc w:val="center"/>
            </w:pPr>
          </w:p>
        </w:tc>
        <w:tc>
          <w:tcPr>
            <w:tcW w:w="1107" w:type="dxa"/>
          </w:tcPr>
          <w:p w:rsidR="008C21B3" w:rsidRDefault="008C21B3" w:rsidP="008C21B3">
            <w:pPr>
              <w:suppressAutoHyphens/>
              <w:jc w:val="center"/>
            </w:pPr>
          </w:p>
        </w:tc>
        <w:tc>
          <w:tcPr>
            <w:tcW w:w="1107" w:type="dxa"/>
          </w:tcPr>
          <w:p w:rsidR="008C21B3" w:rsidRDefault="008C21B3" w:rsidP="008C21B3">
            <w:pPr>
              <w:suppressAutoHyphens/>
              <w:jc w:val="center"/>
            </w:pPr>
          </w:p>
        </w:tc>
      </w:tr>
      <w:tr w:rsidR="008C21B3">
        <w:trPr>
          <w:cantSplit/>
        </w:trPr>
        <w:tc>
          <w:tcPr>
            <w:tcW w:w="5148" w:type="dxa"/>
          </w:tcPr>
          <w:p w:rsidR="008C21B3" w:rsidRDefault="008C21B3" w:rsidP="008C21B3">
            <w:pPr>
              <w:suppressAutoHyphens/>
            </w:pPr>
            <w:r>
              <w:t>9. A certification is needed (see applicable subsection for exact wording)</w:t>
            </w:r>
          </w:p>
        </w:tc>
        <w:tc>
          <w:tcPr>
            <w:tcW w:w="1107" w:type="dxa"/>
          </w:tcPr>
          <w:p w:rsidR="008C21B3" w:rsidRDefault="008C21B3" w:rsidP="008C21B3">
            <w:pPr>
              <w:suppressAutoHyphens/>
              <w:jc w:val="center"/>
            </w:pPr>
          </w:p>
        </w:tc>
        <w:tc>
          <w:tcPr>
            <w:tcW w:w="1107" w:type="dxa"/>
          </w:tcPr>
          <w:p w:rsidR="008C21B3" w:rsidRDefault="008C21B3" w:rsidP="008C21B3">
            <w:pPr>
              <w:suppressAutoHyphens/>
              <w:jc w:val="center"/>
            </w:pPr>
            <w:r>
              <w:sym w:font="Wingdings" w:char="F0FC"/>
            </w:r>
          </w:p>
        </w:tc>
        <w:tc>
          <w:tcPr>
            <w:tcW w:w="1107" w:type="dxa"/>
          </w:tcPr>
          <w:p w:rsidR="008C21B3" w:rsidRDefault="008C21B3" w:rsidP="008C21B3">
            <w:pPr>
              <w:suppressAutoHyphens/>
              <w:jc w:val="center"/>
            </w:pPr>
          </w:p>
        </w:tc>
        <w:tc>
          <w:tcPr>
            <w:tcW w:w="1107" w:type="dxa"/>
          </w:tcPr>
          <w:p w:rsidR="008C21B3" w:rsidRDefault="008C21B3" w:rsidP="008C21B3">
            <w:pPr>
              <w:suppressAutoHyphens/>
              <w:jc w:val="center"/>
            </w:pPr>
            <w:r>
              <w:sym w:font="Wingdings" w:char="F0FC"/>
            </w:r>
          </w:p>
        </w:tc>
      </w:tr>
    </w:tbl>
    <w:p w:rsidR="001D4CC2" w:rsidRDefault="001D4CC2" w:rsidP="001D4CC2">
      <w:pPr>
        <w:suppressAutoHyphens/>
      </w:pPr>
    </w:p>
    <w:p w:rsidR="001D4CC2" w:rsidRDefault="001D4CC2" w:rsidP="001D4CC2">
      <w:pPr>
        <w:suppressAutoHyphens/>
      </w:pPr>
      <w:r>
        <w:t>BOARD NOTE:  Derived from Table 1 to 40 CFR 268.7(a)(4)</w:t>
      </w:r>
      <w:r w:rsidR="004960A8">
        <w:t xml:space="preserve"> (</w:t>
      </w:r>
      <w:r w:rsidR="00FF5404">
        <w:t>2017</w:t>
      </w:r>
      <w:r w:rsidR="004960A8">
        <w:t>)</w:t>
      </w:r>
      <w:r>
        <w:t>.</w:t>
      </w:r>
    </w:p>
    <w:p w:rsidR="00F019CE" w:rsidRDefault="00F019CE" w:rsidP="00F019CE">
      <w:pPr>
        <w:widowControl w:val="0"/>
        <w:autoSpaceDE w:val="0"/>
        <w:autoSpaceDN w:val="0"/>
        <w:adjustRightInd w:val="0"/>
      </w:pPr>
    </w:p>
    <w:p w:rsidR="004960A8" w:rsidRDefault="00FF5404">
      <w:pPr>
        <w:pStyle w:val="JCARSourceNote"/>
        <w:ind w:firstLine="720"/>
      </w:pPr>
      <w:r>
        <w:t xml:space="preserve">(Source:  Amended at 42 Ill. Reg. </w:t>
      </w:r>
      <w:r w:rsidR="00E92343">
        <w:t>24924</w:t>
      </w:r>
      <w:r>
        <w:t xml:space="preserve">, effective </w:t>
      </w:r>
      <w:bookmarkStart w:id="0" w:name="_GoBack"/>
      <w:r w:rsidR="00E92343">
        <w:t>November 19, 2018</w:t>
      </w:r>
      <w:bookmarkEnd w:id="0"/>
      <w:r>
        <w:t>)</w:t>
      </w:r>
    </w:p>
    <w:sectPr w:rsidR="004960A8" w:rsidSect="00F019C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019CE"/>
    <w:rsid w:val="001D4CC2"/>
    <w:rsid w:val="002C4C6D"/>
    <w:rsid w:val="003A1200"/>
    <w:rsid w:val="0049137F"/>
    <w:rsid w:val="004960A8"/>
    <w:rsid w:val="00511958"/>
    <w:rsid w:val="005C3366"/>
    <w:rsid w:val="005D642B"/>
    <w:rsid w:val="00836C84"/>
    <w:rsid w:val="008C21B3"/>
    <w:rsid w:val="00B4121A"/>
    <w:rsid w:val="00B41D99"/>
    <w:rsid w:val="00CA0573"/>
    <w:rsid w:val="00E4590C"/>
    <w:rsid w:val="00E92343"/>
    <w:rsid w:val="00F019CE"/>
    <w:rsid w:val="00F31E18"/>
    <w:rsid w:val="00FF5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FE0F971-CFF8-4EEA-981B-49573F64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96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307</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728</vt:lpstr>
    </vt:vector>
  </TitlesOfParts>
  <Company>State of Illinois</Company>
  <LinksUpToDate>false</LinksUpToDate>
  <CharactersWithSpaces>2053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728</dc:title>
  <dc:subject/>
  <dc:creator>Illinois General Assembly</dc:creator>
  <cp:keywords/>
  <dc:description/>
  <cp:lastModifiedBy>Lane, Arlene L.</cp:lastModifiedBy>
  <cp:revision>3</cp:revision>
  <dcterms:created xsi:type="dcterms:W3CDTF">2018-12-20T17:56:00Z</dcterms:created>
  <dcterms:modified xsi:type="dcterms:W3CDTF">2018-12-27T23:07:00Z</dcterms:modified>
</cp:coreProperties>
</file>