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8195" w14:textId="77777777" w:rsidR="00012E76" w:rsidRPr="005B7116" w:rsidRDefault="00012E76" w:rsidP="00012E76">
      <w:pPr>
        <w:widowControl w:val="0"/>
        <w:autoSpaceDE w:val="0"/>
        <w:autoSpaceDN w:val="0"/>
        <w:adjustRightInd w:val="0"/>
      </w:pPr>
    </w:p>
    <w:p w14:paraId="7B5C135B" w14:textId="77777777" w:rsidR="00012E76" w:rsidRPr="005B7116" w:rsidRDefault="00012E76" w:rsidP="00012E76">
      <w:pPr>
        <w:widowControl w:val="0"/>
        <w:autoSpaceDE w:val="0"/>
        <w:autoSpaceDN w:val="0"/>
        <w:adjustRightInd w:val="0"/>
      </w:pPr>
      <w:r w:rsidRPr="005B7116">
        <w:rPr>
          <w:b/>
          <w:bCs/>
        </w:rPr>
        <w:t>Section 611.612  Monitoring Requirements for Old Inorganic MCLs</w:t>
      </w:r>
      <w:r w:rsidRPr="005B7116">
        <w:t xml:space="preserve"> </w:t>
      </w:r>
    </w:p>
    <w:p w14:paraId="165F8F49" w14:textId="77777777" w:rsidR="00012E76" w:rsidRPr="005B7116" w:rsidRDefault="00012E76" w:rsidP="00012E76">
      <w:pPr>
        <w:widowControl w:val="0"/>
        <w:autoSpaceDE w:val="0"/>
        <w:autoSpaceDN w:val="0"/>
        <w:adjustRightInd w:val="0"/>
      </w:pPr>
    </w:p>
    <w:p w14:paraId="6B08957F" w14:textId="77777777" w:rsidR="00012E76" w:rsidRPr="005B7116" w:rsidRDefault="00012E76" w:rsidP="00012E76">
      <w:pPr>
        <w:widowControl w:val="0"/>
        <w:autoSpaceDE w:val="0"/>
        <w:autoSpaceDN w:val="0"/>
        <w:adjustRightInd w:val="0"/>
        <w:ind w:left="1440" w:hanging="720"/>
      </w:pPr>
      <w:r w:rsidRPr="005B7116">
        <w:t>a)</w:t>
      </w:r>
      <w:r w:rsidRPr="005B7116">
        <w:tab/>
        <w:t xml:space="preserve">Analyses for the purpose of determining compliance with the old inorganic MCLs of Section 611.300 are required as follows: </w:t>
      </w:r>
    </w:p>
    <w:p w14:paraId="435C08E5" w14:textId="77777777" w:rsidR="00012E76" w:rsidRPr="005B7116" w:rsidRDefault="00012E76" w:rsidP="00012E76"/>
    <w:p w14:paraId="3CCE186D" w14:textId="77777777" w:rsidR="00012E76" w:rsidRPr="005B7116" w:rsidRDefault="00012E76" w:rsidP="00012E76">
      <w:pPr>
        <w:widowControl w:val="0"/>
        <w:autoSpaceDE w:val="0"/>
        <w:autoSpaceDN w:val="0"/>
        <w:adjustRightInd w:val="0"/>
        <w:ind w:left="2160" w:hanging="720"/>
      </w:pPr>
      <w:r w:rsidRPr="005B7116">
        <w:t>1)</w:t>
      </w:r>
      <w:r w:rsidRPr="005B7116">
        <w:tab/>
        <w:t xml:space="preserve">Analyses for all CWSs utilizing surface water sources must be repeated at yearly intervals. </w:t>
      </w:r>
    </w:p>
    <w:p w14:paraId="498BE244" w14:textId="77777777" w:rsidR="00012E76" w:rsidRPr="005B7116" w:rsidRDefault="00012E76" w:rsidP="00012E76"/>
    <w:p w14:paraId="16742E49" w14:textId="77777777" w:rsidR="00012E76" w:rsidRPr="005B7116" w:rsidRDefault="00012E76" w:rsidP="00012E76">
      <w:pPr>
        <w:widowControl w:val="0"/>
        <w:autoSpaceDE w:val="0"/>
        <w:autoSpaceDN w:val="0"/>
        <w:adjustRightInd w:val="0"/>
        <w:ind w:left="2160" w:hanging="720"/>
      </w:pPr>
      <w:r w:rsidRPr="005B7116">
        <w:t>2)</w:t>
      </w:r>
      <w:r w:rsidRPr="005B7116">
        <w:tab/>
        <w:t xml:space="preserve">Analyses for all CWSs utilizing only groundwater sources must be repeated at three-year intervals. </w:t>
      </w:r>
    </w:p>
    <w:p w14:paraId="0220695C" w14:textId="77777777" w:rsidR="00012E76" w:rsidRPr="005B7116" w:rsidRDefault="00012E76" w:rsidP="00012E76"/>
    <w:p w14:paraId="3076A2CC" w14:textId="77777777" w:rsidR="00012E76" w:rsidRPr="005B7116" w:rsidRDefault="00012E76" w:rsidP="00012E76">
      <w:pPr>
        <w:widowControl w:val="0"/>
        <w:autoSpaceDE w:val="0"/>
        <w:autoSpaceDN w:val="0"/>
        <w:adjustRightInd w:val="0"/>
        <w:ind w:left="2160" w:hanging="720"/>
      </w:pPr>
      <w:r w:rsidRPr="005B7116">
        <w:t>3)</w:t>
      </w:r>
      <w:r w:rsidRPr="005B7116">
        <w:tab/>
        <w:t xml:space="preserve">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 </w:t>
      </w:r>
    </w:p>
    <w:p w14:paraId="525044AD" w14:textId="77777777" w:rsidR="00012E76" w:rsidRPr="005B7116" w:rsidRDefault="00012E76" w:rsidP="00012E76"/>
    <w:p w14:paraId="6C678626" w14:textId="77777777" w:rsidR="00012E76" w:rsidRPr="005B7116" w:rsidRDefault="00012E76" w:rsidP="00012E76">
      <w:pPr>
        <w:widowControl w:val="0"/>
        <w:autoSpaceDE w:val="0"/>
        <w:autoSpaceDN w:val="0"/>
        <w:adjustRightInd w:val="0"/>
        <w:ind w:left="2160" w:hanging="720"/>
      </w:pPr>
      <w:r w:rsidRPr="005B7116">
        <w:t>4)</w:t>
      </w:r>
      <w:r w:rsidRPr="005B7116">
        <w:tab/>
        <w:t xml:space="preserve">This subsection (a)(4) corresponds with 40 CFR 141.23(1)(4) ,which authorizes the state to determine compliance and initiate enforcement action.  This statement maintains structural consistency with USEPA rules. </w:t>
      </w:r>
    </w:p>
    <w:p w14:paraId="5A924FD2" w14:textId="77777777" w:rsidR="00012E76" w:rsidRPr="005B7116" w:rsidRDefault="00012E76" w:rsidP="00012E76"/>
    <w:p w14:paraId="3A0D1A69" w14:textId="77777777" w:rsidR="00012E76" w:rsidRPr="005B7116" w:rsidRDefault="00012E76" w:rsidP="00012E76">
      <w:pPr>
        <w:widowControl w:val="0"/>
        <w:autoSpaceDE w:val="0"/>
        <w:autoSpaceDN w:val="0"/>
        <w:adjustRightInd w:val="0"/>
        <w:ind w:left="1440" w:hanging="720"/>
      </w:pPr>
      <w:r w:rsidRPr="005B7116">
        <w:t>b)</w:t>
      </w:r>
      <w:r w:rsidRPr="005B7116">
        <w:tab/>
        <w:t xml:space="preserve">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 </w:t>
      </w:r>
    </w:p>
    <w:p w14:paraId="23BAEFEF" w14:textId="77777777" w:rsidR="00012E76" w:rsidRPr="005B7116" w:rsidRDefault="00012E76" w:rsidP="00012E76"/>
    <w:p w14:paraId="559369BB" w14:textId="77777777" w:rsidR="00012E76" w:rsidRPr="005B7116" w:rsidRDefault="00012E76" w:rsidP="00012E76">
      <w:pPr>
        <w:widowControl w:val="0"/>
        <w:autoSpaceDE w:val="0"/>
        <w:autoSpaceDN w:val="0"/>
        <w:adjustRightInd w:val="0"/>
        <w:ind w:left="1440" w:hanging="720"/>
      </w:pPr>
      <w:r w:rsidRPr="005B7116">
        <w:t>c)</w:t>
      </w:r>
      <w:r w:rsidRPr="005B7116">
        <w:tab/>
        <w:t xml:space="preserve">When the average of four analyses made </w:t>
      </w:r>
      <w:r w:rsidR="0036584F" w:rsidRPr="005B7116">
        <w:t>under</w:t>
      </w:r>
      <w:r w:rsidRPr="005B7116">
        <w:t xml:space="preserve"> subsection (b), rounded to the same number of significant figures as the old MCL for the substance in question, exceeds the old MCL, the supplier must notify the Agency and give notice to the public </w:t>
      </w:r>
      <w:r w:rsidR="0036584F" w:rsidRPr="005B7116">
        <w:t>under</w:t>
      </w:r>
      <w:r w:rsidRPr="005B7116">
        <w:t xml:space="preserve">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 </w:t>
      </w:r>
    </w:p>
    <w:p w14:paraId="134C16D5" w14:textId="77777777" w:rsidR="00012E76" w:rsidRPr="005B7116" w:rsidRDefault="00012E76" w:rsidP="00012E76"/>
    <w:p w14:paraId="6914B26F" w14:textId="77777777" w:rsidR="00012E76" w:rsidRPr="005B7116" w:rsidRDefault="00012E76" w:rsidP="00012E76">
      <w:pPr>
        <w:widowControl w:val="0"/>
        <w:autoSpaceDE w:val="0"/>
        <w:autoSpaceDN w:val="0"/>
        <w:adjustRightInd w:val="0"/>
        <w:ind w:left="1440" w:hanging="720"/>
      </w:pPr>
      <w:r w:rsidRPr="005B7116">
        <w:t>d)</w:t>
      </w:r>
      <w:r w:rsidRPr="005B7116">
        <w:tab/>
        <w:t xml:space="preserve">This subsection (d) corresponds with 40 CFR 141.23(o), which pertains to monitoring for the repealed old MCL for nitrate.  This statement maintains structural consistency with USEPA rules. </w:t>
      </w:r>
    </w:p>
    <w:p w14:paraId="5A0E29FC" w14:textId="77777777" w:rsidR="00012E76" w:rsidRPr="005B7116" w:rsidRDefault="00012E76" w:rsidP="00012E76"/>
    <w:p w14:paraId="6C6D8455" w14:textId="77777777" w:rsidR="00012E76" w:rsidRPr="005B7116" w:rsidRDefault="00012E76" w:rsidP="00012E76">
      <w:pPr>
        <w:widowControl w:val="0"/>
        <w:autoSpaceDE w:val="0"/>
        <w:autoSpaceDN w:val="0"/>
        <w:adjustRightInd w:val="0"/>
        <w:ind w:left="1440" w:hanging="720"/>
      </w:pPr>
      <w:r w:rsidRPr="005B7116">
        <w:t>e)</w:t>
      </w:r>
      <w:r w:rsidRPr="005B7116">
        <w:tab/>
        <w:t xml:space="preserve">This subsection (e) corresponds with 40 CFR 141.23(p), which pertains to the use of existing data up until a date long since expired.  This statement maintains structural consistency with USEPA rules. </w:t>
      </w:r>
    </w:p>
    <w:p w14:paraId="407A9E46" w14:textId="77777777" w:rsidR="00012E76" w:rsidRPr="005B7116" w:rsidRDefault="00012E76" w:rsidP="00DC2528"/>
    <w:p w14:paraId="3B16C4C3" w14:textId="21000221" w:rsidR="00012E76" w:rsidRPr="005B7116" w:rsidRDefault="00012E76" w:rsidP="00AD264A">
      <w:pPr>
        <w:ind w:left="1440" w:hanging="720"/>
      </w:pPr>
      <w:r w:rsidRPr="005B7116">
        <w:lastRenderedPageBreak/>
        <w:t>f)</w:t>
      </w:r>
      <w:r w:rsidRPr="005B7116">
        <w:tab/>
        <w:t xml:space="preserve">Analyses conducted to determine compliance with the old MCLs of Section 611.300 must be made in </w:t>
      </w:r>
      <w:r w:rsidR="000245A9">
        <w:t>compliance</w:t>
      </w:r>
      <w:r w:rsidRPr="005B7116">
        <w:t xml:space="preserve"> with the following methods, incorporated by reference in Section 611.102, or alternative methods approved by the Agency </w:t>
      </w:r>
      <w:r w:rsidR="00F327A2" w:rsidRPr="005B7116">
        <w:t>under</w:t>
      </w:r>
      <w:r w:rsidRPr="005B7116">
        <w:t xml:space="preserve"> Section 611.480.</w:t>
      </w:r>
      <w:r w:rsidR="00AD264A" w:rsidRPr="005B7116">
        <w:t xml:space="preserve">  </w:t>
      </w:r>
      <w:bookmarkStart w:id="0" w:name="_Hlk2701777"/>
      <w:r w:rsidR="00AD264A" w:rsidRPr="005B7116">
        <w:t>Criteria for analyzing iron, manganese, and zinc samples with digestion or directly without digestion, and other analytical test procedures are contained in USEPA Technical Notes (94), incorporated by reference in Section 611.102</w:t>
      </w:r>
      <w:bookmarkEnd w:id="0"/>
      <w:r w:rsidR="00AD264A" w:rsidRPr="005B7116">
        <w:t>.</w:t>
      </w:r>
      <w:r w:rsidRPr="005B7116">
        <w:t xml:space="preserve"> </w:t>
      </w:r>
    </w:p>
    <w:p w14:paraId="738744CE" w14:textId="77777777" w:rsidR="00012E76" w:rsidRPr="005B7116" w:rsidRDefault="00012E76" w:rsidP="00DC2528"/>
    <w:p w14:paraId="2767761E" w14:textId="77777777" w:rsidR="00012E76" w:rsidRPr="005B7116" w:rsidRDefault="00012E76" w:rsidP="00012E76">
      <w:pPr>
        <w:widowControl w:val="0"/>
        <w:autoSpaceDE w:val="0"/>
        <w:autoSpaceDN w:val="0"/>
        <w:adjustRightInd w:val="0"/>
        <w:ind w:left="2160" w:hanging="720"/>
      </w:pPr>
      <w:r w:rsidRPr="005B7116">
        <w:t>1)</w:t>
      </w:r>
      <w:r w:rsidRPr="005B7116">
        <w:tab/>
        <w:t>Fluoride</w:t>
      </w:r>
      <w:r w:rsidR="00AD264A" w:rsidRPr="005B7116">
        <w:t>.</w:t>
      </w:r>
      <w:r w:rsidRPr="005B7116">
        <w:t xml:space="preserve">  The methods specified in Section 611.611(c) must apply for the purposes of this Section. </w:t>
      </w:r>
    </w:p>
    <w:p w14:paraId="472B2A4D" w14:textId="77777777" w:rsidR="00012E76" w:rsidRPr="005B7116" w:rsidRDefault="00012E76" w:rsidP="00012E76"/>
    <w:p w14:paraId="5E0297CC" w14:textId="77777777" w:rsidR="00012E76" w:rsidRPr="005B7116" w:rsidRDefault="00012E76" w:rsidP="00012E76">
      <w:pPr>
        <w:widowControl w:val="0"/>
        <w:autoSpaceDE w:val="0"/>
        <w:autoSpaceDN w:val="0"/>
        <w:adjustRightInd w:val="0"/>
        <w:ind w:left="2160" w:hanging="720"/>
      </w:pPr>
      <w:r w:rsidRPr="005B7116">
        <w:t>2)</w:t>
      </w:r>
      <w:r w:rsidRPr="005B7116">
        <w:tab/>
        <w:t xml:space="preserve">Iron </w:t>
      </w:r>
    </w:p>
    <w:p w14:paraId="2486666C" w14:textId="77777777" w:rsidR="00012E76" w:rsidRPr="005B7116" w:rsidRDefault="00012E76" w:rsidP="00012E76"/>
    <w:p w14:paraId="5313F3A2" w14:textId="77777777" w:rsidR="00012E76" w:rsidRPr="005B7116" w:rsidRDefault="00AD264A" w:rsidP="00AD264A">
      <w:pPr>
        <w:widowControl w:val="0"/>
        <w:autoSpaceDE w:val="0"/>
        <w:autoSpaceDN w:val="0"/>
        <w:adjustRightInd w:val="0"/>
        <w:ind w:left="2880" w:hanging="720"/>
      </w:pPr>
      <w:r w:rsidRPr="005B7116">
        <w:t>A</w:t>
      </w:r>
      <w:r w:rsidR="00012E76" w:rsidRPr="005B7116">
        <w:t>)</w:t>
      </w:r>
      <w:r w:rsidR="00012E76" w:rsidRPr="005B7116">
        <w:tab/>
      </w:r>
      <w:bookmarkStart w:id="1" w:name="_Hlk13763262"/>
      <w:bookmarkStart w:id="2" w:name="_Hlk2703942"/>
      <w:r w:rsidRPr="005B7116">
        <w:t>Atomic Absorption, Direct Aspiration Technique</w:t>
      </w:r>
      <w:bookmarkEnd w:id="1"/>
      <w:r w:rsidRPr="005B7116">
        <w:t>.</w:t>
      </w:r>
      <w:bookmarkEnd w:id="2"/>
      <w:r w:rsidRPr="005B7116">
        <w:t xml:space="preserve">  SM</w:t>
      </w:r>
      <w:r w:rsidR="00012E76" w:rsidRPr="005B7116">
        <w:t xml:space="preserve"> 3111 B</w:t>
      </w:r>
      <w:r w:rsidRPr="005B7116">
        <w:t xml:space="preserve"> (89), SM 3111 B (93), or SM 3111 B (99).</w:t>
      </w:r>
      <w:r w:rsidR="00012E76" w:rsidRPr="005B7116">
        <w:t xml:space="preserve"> </w:t>
      </w:r>
    </w:p>
    <w:p w14:paraId="3F7662BF" w14:textId="77777777" w:rsidR="00012E76" w:rsidRPr="005B7116" w:rsidRDefault="00012E76" w:rsidP="00DC2528"/>
    <w:p w14:paraId="3BB70B82" w14:textId="77777777" w:rsidR="00012E76" w:rsidRPr="005B7116" w:rsidRDefault="00AD264A" w:rsidP="00AD264A">
      <w:pPr>
        <w:widowControl w:val="0"/>
        <w:autoSpaceDE w:val="0"/>
        <w:autoSpaceDN w:val="0"/>
        <w:adjustRightInd w:val="0"/>
        <w:ind w:left="2880" w:hanging="720"/>
      </w:pPr>
      <w:r w:rsidRPr="005B7116">
        <w:t>B</w:t>
      </w:r>
      <w:r w:rsidR="00012E76" w:rsidRPr="005B7116">
        <w:t>)</w:t>
      </w:r>
      <w:r w:rsidR="00012E76" w:rsidRPr="005B7116">
        <w:tab/>
      </w:r>
      <w:bookmarkStart w:id="3" w:name="_Hlk13763572"/>
      <w:r w:rsidRPr="005B7116">
        <w:t>Atomic Absorption, Graphite Furnace Techniqu</w:t>
      </w:r>
      <w:bookmarkEnd w:id="3"/>
      <w:r w:rsidRPr="005B7116">
        <w:t>e.  SM</w:t>
      </w:r>
      <w:r w:rsidR="00012E76" w:rsidRPr="005B7116">
        <w:t xml:space="preserve"> 3113 B</w:t>
      </w:r>
      <w:r w:rsidRPr="005B7116">
        <w:t xml:space="preserve"> (89), SM 3113 B (93), SM 3113 B (99), SM 3113 B (04), or SM 3113 B (10).</w:t>
      </w:r>
    </w:p>
    <w:p w14:paraId="7841570F" w14:textId="77777777" w:rsidR="00012E76" w:rsidRPr="005B7116" w:rsidRDefault="00012E76" w:rsidP="00DC2528"/>
    <w:p w14:paraId="7DB5DCAC" w14:textId="77777777" w:rsidR="00012E76" w:rsidRPr="005B7116" w:rsidRDefault="00AD264A" w:rsidP="00AD264A">
      <w:pPr>
        <w:widowControl w:val="0"/>
        <w:autoSpaceDE w:val="0"/>
        <w:autoSpaceDN w:val="0"/>
        <w:adjustRightInd w:val="0"/>
        <w:ind w:left="2880" w:hanging="720"/>
      </w:pPr>
      <w:r w:rsidRPr="005B7116">
        <w:t>C</w:t>
      </w:r>
      <w:r w:rsidR="00012E76" w:rsidRPr="005B7116">
        <w:t>)</w:t>
      </w:r>
      <w:r w:rsidR="00012E76" w:rsidRPr="005B7116">
        <w:tab/>
      </w:r>
      <w:bookmarkStart w:id="4" w:name="_Hlk13764575"/>
      <w:r w:rsidRPr="005B7116">
        <w:t>Atomic Absorption, Inductively Coupled Plasma Technique</w:t>
      </w:r>
      <w:bookmarkEnd w:id="4"/>
      <w:r w:rsidRPr="005B7116">
        <w:t>.  SM</w:t>
      </w:r>
      <w:r w:rsidR="00012E76" w:rsidRPr="005B7116">
        <w:t xml:space="preserve"> 3120 B</w:t>
      </w:r>
      <w:r w:rsidRPr="005B7116">
        <w:t xml:space="preserve"> (89), SM 3120 B (93), or SM 3120 B (99)</w:t>
      </w:r>
      <w:r w:rsidR="00012E76" w:rsidRPr="005B7116">
        <w:t xml:space="preserve">. </w:t>
      </w:r>
    </w:p>
    <w:p w14:paraId="44DFA6FF" w14:textId="77777777" w:rsidR="00012E76" w:rsidRPr="005B7116" w:rsidRDefault="00012E76" w:rsidP="00012E76"/>
    <w:p w14:paraId="53166FDC" w14:textId="185E6337" w:rsidR="00012E76" w:rsidRPr="005B7116" w:rsidRDefault="00AD264A" w:rsidP="00AD264A">
      <w:pPr>
        <w:widowControl w:val="0"/>
        <w:autoSpaceDE w:val="0"/>
        <w:autoSpaceDN w:val="0"/>
        <w:adjustRightInd w:val="0"/>
        <w:ind w:left="2880" w:hanging="720"/>
      </w:pPr>
      <w:r w:rsidRPr="005B7116">
        <w:t>D</w:t>
      </w:r>
      <w:r w:rsidR="00012E76" w:rsidRPr="005B7116">
        <w:t>)</w:t>
      </w:r>
      <w:r w:rsidR="00012E76" w:rsidRPr="005B7116">
        <w:tab/>
      </w:r>
      <w:bookmarkStart w:id="5" w:name="_Hlk13764850"/>
      <w:r w:rsidRPr="005B7116">
        <w:t>Inductively Coupled Plasma Arc Furnace Technique</w:t>
      </w:r>
      <w:bookmarkEnd w:id="5"/>
      <w:r w:rsidRPr="005B7116">
        <w:t>.  USEPA</w:t>
      </w:r>
      <w:r w:rsidR="00012E76" w:rsidRPr="005B7116">
        <w:t xml:space="preserve"> 200.7 </w:t>
      </w:r>
      <w:r w:rsidRPr="005B7116">
        <w:t>(94)</w:t>
      </w:r>
      <w:r w:rsidR="00BA6719">
        <w:t>.</w:t>
      </w:r>
      <w:r w:rsidR="00012E76" w:rsidRPr="005B7116">
        <w:t xml:space="preserve"> </w:t>
      </w:r>
    </w:p>
    <w:p w14:paraId="1ECE21FE" w14:textId="77777777" w:rsidR="00012E76" w:rsidRPr="005B7116" w:rsidRDefault="00012E76" w:rsidP="00AD264A">
      <w:pPr>
        <w:ind w:left="2880"/>
      </w:pPr>
    </w:p>
    <w:p w14:paraId="64FAC34B" w14:textId="77777777" w:rsidR="00012E76" w:rsidRPr="005B7116" w:rsidRDefault="00AD264A" w:rsidP="00AD264A">
      <w:pPr>
        <w:widowControl w:val="0"/>
        <w:autoSpaceDE w:val="0"/>
        <w:autoSpaceDN w:val="0"/>
        <w:adjustRightInd w:val="0"/>
        <w:ind w:left="2880" w:hanging="720"/>
      </w:pPr>
      <w:r w:rsidRPr="005B7116">
        <w:t>E</w:t>
      </w:r>
      <w:r w:rsidR="00012E76" w:rsidRPr="005B7116">
        <w:t>)</w:t>
      </w:r>
      <w:r w:rsidR="00012E76" w:rsidRPr="005B7116">
        <w:tab/>
      </w:r>
      <w:bookmarkStart w:id="6" w:name="_Hlk13765044"/>
      <w:r w:rsidRPr="005B7116">
        <w:t>Atomic Absorption, Platform Furnace Technique</w:t>
      </w:r>
      <w:bookmarkEnd w:id="6"/>
      <w:r w:rsidRPr="005B7116">
        <w:t>.  USEPA</w:t>
      </w:r>
      <w:r w:rsidR="00012E76" w:rsidRPr="005B7116">
        <w:t xml:space="preserve"> 200.9 </w:t>
      </w:r>
      <w:r w:rsidRPr="005B7116">
        <w:t>(94)</w:t>
      </w:r>
      <w:r w:rsidR="00012E76" w:rsidRPr="005B7116">
        <w:t xml:space="preserve">. </w:t>
      </w:r>
    </w:p>
    <w:p w14:paraId="03231307" w14:textId="77777777" w:rsidR="00012E76" w:rsidRPr="005B7116" w:rsidRDefault="00012E76" w:rsidP="00012E76"/>
    <w:p w14:paraId="739DB3E7" w14:textId="77777777" w:rsidR="00012E76" w:rsidRPr="005B7116" w:rsidRDefault="00AD264A" w:rsidP="00012E76">
      <w:pPr>
        <w:suppressAutoHyphens/>
        <w:ind w:left="2880" w:hanging="720"/>
      </w:pPr>
      <w:r w:rsidRPr="005B7116">
        <w:t>F</w:t>
      </w:r>
      <w:r w:rsidR="00012E76" w:rsidRPr="005B7116">
        <w:t>)</w:t>
      </w:r>
      <w:r w:rsidR="00012E76" w:rsidRPr="005B7116">
        <w:tab/>
        <w:t xml:space="preserve">Axially </w:t>
      </w:r>
      <w:r w:rsidRPr="005B7116">
        <w:t>Viewed Inductively Coupled Plasma-Atomic Emission Spectrometry</w:t>
      </w:r>
      <w:r w:rsidR="00012E76" w:rsidRPr="005B7116">
        <w:t xml:space="preserve"> (AVICP-AES)</w:t>
      </w:r>
      <w:r w:rsidRPr="005B7116">
        <w:t>.</w:t>
      </w:r>
      <w:r w:rsidR="00012E76" w:rsidRPr="005B7116">
        <w:t xml:space="preserve">  USEPA 200.5</w:t>
      </w:r>
      <w:r w:rsidRPr="005B7116">
        <w:t xml:space="preserve"> (03)</w:t>
      </w:r>
      <w:r w:rsidR="00012E76" w:rsidRPr="005B7116">
        <w:t>.</w:t>
      </w:r>
    </w:p>
    <w:p w14:paraId="040BA640" w14:textId="77777777" w:rsidR="00012E76" w:rsidRPr="005B7116" w:rsidRDefault="00012E76" w:rsidP="00012E76"/>
    <w:p w14:paraId="4DF59D12" w14:textId="77777777" w:rsidR="00012E76" w:rsidRPr="005B7116" w:rsidRDefault="00012E76" w:rsidP="00012E76">
      <w:pPr>
        <w:widowControl w:val="0"/>
        <w:autoSpaceDE w:val="0"/>
        <w:autoSpaceDN w:val="0"/>
        <w:adjustRightInd w:val="0"/>
        <w:ind w:left="2160" w:hanging="720"/>
      </w:pPr>
      <w:r w:rsidRPr="005B7116">
        <w:t>3)</w:t>
      </w:r>
      <w:r w:rsidRPr="005B7116">
        <w:tab/>
        <w:t xml:space="preserve">Manganese </w:t>
      </w:r>
    </w:p>
    <w:p w14:paraId="6297A1BD" w14:textId="77777777" w:rsidR="00012E76" w:rsidRPr="005B7116" w:rsidRDefault="00012E76" w:rsidP="00DC2528"/>
    <w:p w14:paraId="6E24C692" w14:textId="77777777" w:rsidR="00012E76" w:rsidRPr="005B7116" w:rsidRDefault="00A42D2A" w:rsidP="00A42D2A">
      <w:pPr>
        <w:ind w:left="2880" w:hanging="720"/>
      </w:pPr>
      <w:r w:rsidRPr="005B7116">
        <w:t>A</w:t>
      </w:r>
      <w:r w:rsidR="00012E76" w:rsidRPr="005B7116">
        <w:t>)</w:t>
      </w:r>
      <w:r w:rsidR="00012E76" w:rsidRPr="005B7116">
        <w:tab/>
      </w:r>
      <w:r w:rsidRPr="005B7116">
        <w:t>Atomic Absorption, Direct Aspiration Technique.  SM</w:t>
      </w:r>
      <w:r w:rsidR="00012E76" w:rsidRPr="005B7116">
        <w:t xml:space="preserve"> 3111 B</w:t>
      </w:r>
      <w:r w:rsidRPr="005B7116">
        <w:t xml:space="preserve"> (89), SM 3111 B (93), or SM 3111 B (99).</w:t>
      </w:r>
    </w:p>
    <w:p w14:paraId="13E2B2FF" w14:textId="77777777" w:rsidR="00012E76" w:rsidRPr="005B7116" w:rsidRDefault="00012E76" w:rsidP="00DC2528"/>
    <w:p w14:paraId="7AF9A019" w14:textId="77777777" w:rsidR="00012E76" w:rsidRPr="005B7116" w:rsidRDefault="00A42D2A" w:rsidP="00A42D2A">
      <w:pPr>
        <w:widowControl w:val="0"/>
        <w:autoSpaceDE w:val="0"/>
        <w:autoSpaceDN w:val="0"/>
        <w:adjustRightInd w:val="0"/>
        <w:ind w:left="2880" w:hanging="720"/>
      </w:pPr>
      <w:r w:rsidRPr="005B7116">
        <w:t>B</w:t>
      </w:r>
      <w:r w:rsidR="00012E76" w:rsidRPr="005B7116">
        <w:t>)</w:t>
      </w:r>
      <w:r w:rsidR="00012E76" w:rsidRPr="005B7116">
        <w:tab/>
      </w:r>
      <w:r w:rsidRPr="005B7116">
        <w:t>Atomic Absorption, Graphite Furnace Technique.  SM</w:t>
      </w:r>
      <w:r w:rsidR="00012E76" w:rsidRPr="005B7116">
        <w:t xml:space="preserve"> 3113 B</w:t>
      </w:r>
      <w:r w:rsidRPr="005B7116">
        <w:t xml:space="preserve"> (89), SM 3113 B (93), SM 3113 B (99), SM 3113 B (04), or SM 3113 B (10).</w:t>
      </w:r>
      <w:r w:rsidR="00012E76" w:rsidRPr="005B7116">
        <w:t xml:space="preserve"> </w:t>
      </w:r>
    </w:p>
    <w:p w14:paraId="557FD984" w14:textId="77777777" w:rsidR="00012E76" w:rsidRPr="005B7116" w:rsidRDefault="00012E76" w:rsidP="00DC2528"/>
    <w:p w14:paraId="24C86F4D" w14:textId="77777777" w:rsidR="00012E76" w:rsidRPr="005B7116" w:rsidRDefault="00A42D2A" w:rsidP="00A42D2A">
      <w:pPr>
        <w:widowControl w:val="0"/>
        <w:autoSpaceDE w:val="0"/>
        <w:autoSpaceDN w:val="0"/>
        <w:adjustRightInd w:val="0"/>
        <w:ind w:left="2880" w:hanging="720"/>
      </w:pPr>
      <w:r w:rsidRPr="005B7116">
        <w:t>C</w:t>
      </w:r>
      <w:r w:rsidR="00012E76" w:rsidRPr="005B7116">
        <w:t>)</w:t>
      </w:r>
      <w:r w:rsidR="00012E76" w:rsidRPr="005B7116">
        <w:tab/>
      </w:r>
      <w:r w:rsidRPr="005B7116">
        <w:t>Atomic Absorption, Inductively Coupled Plasma Technique.  SM</w:t>
      </w:r>
      <w:r w:rsidR="00012E76" w:rsidRPr="005B7116">
        <w:t xml:space="preserve"> 3120 B</w:t>
      </w:r>
      <w:r w:rsidRPr="005B7116">
        <w:t xml:space="preserve"> (89), SM 3120 B (93), or SM 3120 B (99)</w:t>
      </w:r>
      <w:r w:rsidR="00012E76" w:rsidRPr="005B7116">
        <w:t>.</w:t>
      </w:r>
    </w:p>
    <w:p w14:paraId="3862A85A" w14:textId="77777777" w:rsidR="00012E76" w:rsidRPr="005B7116" w:rsidRDefault="00012E76" w:rsidP="00012E76"/>
    <w:p w14:paraId="3BE15432" w14:textId="77777777" w:rsidR="00012E76" w:rsidRPr="005B7116" w:rsidRDefault="00A42D2A" w:rsidP="00215610">
      <w:pPr>
        <w:widowControl w:val="0"/>
        <w:autoSpaceDE w:val="0"/>
        <w:autoSpaceDN w:val="0"/>
        <w:adjustRightInd w:val="0"/>
        <w:ind w:left="2880" w:hanging="720"/>
      </w:pPr>
      <w:r w:rsidRPr="005B7116">
        <w:t>D</w:t>
      </w:r>
      <w:r w:rsidR="00012E76" w:rsidRPr="005B7116">
        <w:t>)</w:t>
      </w:r>
      <w:r w:rsidR="00012E76" w:rsidRPr="005B7116">
        <w:tab/>
      </w:r>
      <w:r w:rsidRPr="005B7116">
        <w:t>Inductively Coupled Plasma Arc Furnace Technique.  USEPA</w:t>
      </w:r>
      <w:r w:rsidR="00012E76" w:rsidRPr="005B7116">
        <w:t xml:space="preserve"> 200.7 </w:t>
      </w:r>
      <w:r w:rsidRPr="005B7116">
        <w:t>(94).</w:t>
      </w:r>
      <w:r w:rsidR="00012E76" w:rsidRPr="005B7116">
        <w:t xml:space="preserve"> </w:t>
      </w:r>
    </w:p>
    <w:p w14:paraId="4E67D14A" w14:textId="77777777" w:rsidR="00012E76" w:rsidRPr="005B7116" w:rsidRDefault="00012E76" w:rsidP="00DC2528"/>
    <w:p w14:paraId="7FD4D686" w14:textId="77777777" w:rsidR="00012E76" w:rsidRPr="005B7116" w:rsidRDefault="00A42D2A" w:rsidP="00215610">
      <w:pPr>
        <w:widowControl w:val="0"/>
        <w:autoSpaceDE w:val="0"/>
        <w:autoSpaceDN w:val="0"/>
        <w:adjustRightInd w:val="0"/>
        <w:ind w:left="2880" w:hanging="720"/>
      </w:pPr>
      <w:r w:rsidRPr="005B7116">
        <w:t>E</w:t>
      </w:r>
      <w:r w:rsidR="00012E76" w:rsidRPr="005B7116">
        <w:t>)</w:t>
      </w:r>
      <w:r w:rsidR="00012E76" w:rsidRPr="005B7116">
        <w:tab/>
      </w:r>
      <w:r w:rsidRPr="005B7116">
        <w:t>Inductively Coupled Plasma</w:t>
      </w:r>
      <w:bookmarkStart w:id="7" w:name="_Hlk13766810"/>
      <w:r w:rsidRPr="005B7116">
        <w:t>-Mass Spectrometry</w:t>
      </w:r>
      <w:bookmarkEnd w:id="7"/>
      <w:r w:rsidRPr="005B7116">
        <w:t>.  USEPA</w:t>
      </w:r>
      <w:r w:rsidR="00012E76" w:rsidRPr="005B7116">
        <w:t xml:space="preserve"> 200.8 </w:t>
      </w:r>
      <w:r w:rsidRPr="005B7116">
        <w:t>(94).</w:t>
      </w:r>
      <w:r w:rsidR="00012E76" w:rsidRPr="005B7116">
        <w:t xml:space="preserve"> </w:t>
      </w:r>
    </w:p>
    <w:p w14:paraId="2336E04C" w14:textId="77777777" w:rsidR="00012E76" w:rsidRPr="005B7116" w:rsidRDefault="00012E76" w:rsidP="00DC2528"/>
    <w:p w14:paraId="0B4782C7" w14:textId="77777777" w:rsidR="00012E76" w:rsidRPr="005B7116" w:rsidRDefault="00A42D2A" w:rsidP="00215610">
      <w:pPr>
        <w:widowControl w:val="0"/>
        <w:autoSpaceDE w:val="0"/>
        <w:autoSpaceDN w:val="0"/>
        <w:adjustRightInd w:val="0"/>
        <w:ind w:left="2880" w:hanging="720"/>
      </w:pPr>
      <w:r w:rsidRPr="005B7116">
        <w:t>F</w:t>
      </w:r>
      <w:r w:rsidR="00012E76" w:rsidRPr="005B7116">
        <w:t>)</w:t>
      </w:r>
      <w:r w:rsidR="00012E76" w:rsidRPr="005B7116">
        <w:tab/>
      </w:r>
      <w:r w:rsidRPr="005B7116">
        <w:t>Atomic Absorption, Platform Furnace Technique.  USEPA</w:t>
      </w:r>
      <w:r w:rsidR="00012E76" w:rsidRPr="005B7116">
        <w:t xml:space="preserve"> 200.9 </w:t>
      </w:r>
      <w:r w:rsidR="00215610" w:rsidRPr="005B7116">
        <w:t>(94)</w:t>
      </w:r>
      <w:r w:rsidR="00012E76" w:rsidRPr="005B7116">
        <w:t xml:space="preserve">. </w:t>
      </w:r>
    </w:p>
    <w:p w14:paraId="5170C47D" w14:textId="77777777" w:rsidR="00012E76" w:rsidRPr="005B7116" w:rsidRDefault="00012E76" w:rsidP="00012E76"/>
    <w:p w14:paraId="6E2ED217" w14:textId="77777777" w:rsidR="00012E76" w:rsidRPr="005B7116" w:rsidRDefault="00215610" w:rsidP="00012E76">
      <w:pPr>
        <w:suppressAutoHyphens/>
        <w:ind w:left="2880" w:hanging="720"/>
      </w:pPr>
      <w:r w:rsidRPr="005B7116">
        <w:t>G</w:t>
      </w:r>
      <w:r w:rsidR="00012E76" w:rsidRPr="005B7116">
        <w:t>)</w:t>
      </w:r>
      <w:r w:rsidR="00012E76" w:rsidRPr="005B7116">
        <w:tab/>
        <w:t xml:space="preserve">Axially </w:t>
      </w:r>
      <w:r w:rsidRPr="005B7116">
        <w:t>Viewed Inductively Coupled Plasma-Atomic Emission Spectrometry</w:t>
      </w:r>
      <w:r w:rsidR="00012E76" w:rsidRPr="005B7116">
        <w:t xml:space="preserve"> (AVICP-AES)</w:t>
      </w:r>
      <w:r w:rsidRPr="005B7116">
        <w:t>.</w:t>
      </w:r>
      <w:r w:rsidR="00012E76" w:rsidRPr="005B7116">
        <w:t xml:space="preserve">  USEPA 200.5</w:t>
      </w:r>
      <w:r w:rsidRPr="005B7116">
        <w:t xml:space="preserve"> (03)</w:t>
      </w:r>
      <w:r w:rsidR="00012E76" w:rsidRPr="005B7116">
        <w:t>.</w:t>
      </w:r>
    </w:p>
    <w:p w14:paraId="1E599F39" w14:textId="77777777" w:rsidR="00012E76" w:rsidRPr="005B7116" w:rsidRDefault="00012E76" w:rsidP="00012E76"/>
    <w:p w14:paraId="6F3E21C6" w14:textId="77777777" w:rsidR="00012E76" w:rsidRPr="005B7116" w:rsidRDefault="00012E76" w:rsidP="00012E76">
      <w:pPr>
        <w:widowControl w:val="0"/>
        <w:autoSpaceDE w:val="0"/>
        <w:autoSpaceDN w:val="0"/>
        <w:adjustRightInd w:val="0"/>
        <w:ind w:left="2160" w:hanging="720"/>
      </w:pPr>
      <w:r w:rsidRPr="005B7116">
        <w:t>4)</w:t>
      </w:r>
      <w:r w:rsidRPr="005B7116">
        <w:tab/>
        <w:t xml:space="preserve">Zinc </w:t>
      </w:r>
    </w:p>
    <w:p w14:paraId="3DA2A17D" w14:textId="77777777" w:rsidR="00012E76" w:rsidRPr="005B7116" w:rsidRDefault="00012E76" w:rsidP="00012E76"/>
    <w:p w14:paraId="231A1C4B" w14:textId="77777777" w:rsidR="00012E76" w:rsidRPr="005B7116" w:rsidRDefault="00215610" w:rsidP="00215610">
      <w:pPr>
        <w:widowControl w:val="0"/>
        <w:autoSpaceDE w:val="0"/>
        <w:autoSpaceDN w:val="0"/>
        <w:adjustRightInd w:val="0"/>
        <w:ind w:left="2880" w:hanging="720"/>
      </w:pPr>
      <w:r w:rsidRPr="005B7116">
        <w:t>A</w:t>
      </w:r>
      <w:r w:rsidR="00012E76" w:rsidRPr="005B7116">
        <w:t>)</w:t>
      </w:r>
      <w:r w:rsidR="00012E76" w:rsidRPr="005B7116">
        <w:tab/>
      </w:r>
      <w:r w:rsidRPr="005B7116">
        <w:t>Atomic Absorption, Direct Aspiration Technique.  SM</w:t>
      </w:r>
      <w:r w:rsidR="00012E76" w:rsidRPr="005B7116">
        <w:t xml:space="preserve"> 3111 B</w:t>
      </w:r>
      <w:r w:rsidRPr="005B7116">
        <w:t xml:space="preserve"> (89), SM 3111 B (93), or SM 3111 B (99).</w:t>
      </w:r>
      <w:r w:rsidR="00012E76" w:rsidRPr="005B7116">
        <w:t xml:space="preserve"> </w:t>
      </w:r>
    </w:p>
    <w:p w14:paraId="3BBC2198" w14:textId="77777777" w:rsidR="00012E76" w:rsidRPr="005B7116" w:rsidRDefault="00012E76" w:rsidP="00DC2528"/>
    <w:p w14:paraId="3B618E79" w14:textId="77777777" w:rsidR="00012E76" w:rsidRPr="005B7116" w:rsidRDefault="00215610" w:rsidP="00215610">
      <w:pPr>
        <w:widowControl w:val="0"/>
        <w:autoSpaceDE w:val="0"/>
        <w:autoSpaceDN w:val="0"/>
        <w:adjustRightInd w:val="0"/>
        <w:ind w:left="2880" w:hanging="720"/>
      </w:pPr>
      <w:r w:rsidRPr="005B7116">
        <w:t>B</w:t>
      </w:r>
      <w:r w:rsidR="00012E76" w:rsidRPr="005B7116">
        <w:t>)</w:t>
      </w:r>
      <w:r w:rsidR="00012E76" w:rsidRPr="005B7116">
        <w:tab/>
      </w:r>
      <w:r w:rsidRPr="005B7116">
        <w:t>Atomic Absorption, Inductively Coupled Plasma Technique.  SM</w:t>
      </w:r>
      <w:r w:rsidR="00012E76" w:rsidRPr="005B7116">
        <w:t xml:space="preserve"> 3120 B</w:t>
      </w:r>
      <w:r w:rsidRPr="005B7116">
        <w:t xml:space="preserve"> (89), SM 3120 B (93), or SM 3120 B (99)</w:t>
      </w:r>
      <w:r w:rsidR="00012E76" w:rsidRPr="005B7116">
        <w:t xml:space="preserve">. </w:t>
      </w:r>
    </w:p>
    <w:p w14:paraId="28A39206" w14:textId="77777777" w:rsidR="00012E76" w:rsidRPr="005B7116" w:rsidRDefault="00012E76" w:rsidP="00012E76"/>
    <w:p w14:paraId="2625B065" w14:textId="77777777" w:rsidR="00012E76" w:rsidRPr="005B7116" w:rsidRDefault="00215610" w:rsidP="00215610">
      <w:pPr>
        <w:widowControl w:val="0"/>
        <w:autoSpaceDE w:val="0"/>
        <w:autoSpaceDN w:val="0"/>
        <w:adjustRightInd w:val="0"/>
        <w:ind w:left="2880" w:hanging="720"/>
      </w:pPr>
      <w:r w:rsidRPr="005B7116">
        <w:t>C</w:t>
      </w:r>
      <w:r w:rsidR="00012E76" w:rsidRPr="005B7116">
        <w:t>)</w:t>
      </w:r>
      <w:r w:rsidR="00012E76" w:rsidRPr="005B7116">
        <w:tab/>
      </w:r>
      <w:r w:rsidRPr="005B7116">
        <w:t>Inductively Coupled Plasma Arc Furnace Technique.  USEPA</w:t>
      </w:r>
      <w:r w:rsidR="00012E76" w:rsidRPr="005B7116">
        <w:t xml:space="preserve"> 200.7 </w:t>
      </w:r>
      <w:r w:rsidRPr="005B7116">
        <w:t>(94).</w:t>
      </w:r>
      <w:r w:rsidR="00012E76" w:rsidRPr="005B7116">
        <w:t xml:space="preserve"> </w:t>
      </w:r>
    </w:p>
    <w:p w14:paraId="0EECDFB9" w14:textId="77777777" w:rsidR="00012E76" w:rsidRPr="005B7116" w:rsidRDefault="00012E76" w:rsidP="00DC2528"/>
    <w:p w14:paraId="304F6532" w14:textId="77777777" w:rsidR="00012E76" w:rsidRPr="005B7116" w:rsidRDefault="00215610" w:rsidP="00215610">
      <w:pPr>
        <w:widowControl w:val="0"/>
        <w:autoSpaceDE w:val="0"/>
        <w:autoSpaceDN w:val="0"/>
        <w:adjustRightInd w:val="0"/>
        <w:ind w:left="2880" w:hanging="720"/>
      </w:pPr>
      <w:r w:rsidRPr="005B7116">
        <w:t>D</w:t>
      </w:r>
      <w:r w:rsidR="00012E76" w:rsidRPr="005B7116">
        <w:t>)</w:t>
      </w:r>
      <w:r w:rsidR="00012E76" w:rsidRPr="005B7116">
        <w:tab/>
      </w:r>
      <w:r w:rsidRPr="005B7116">
        <w:t>Atomic Absorption, Platform Furnace Technique.  USEPA</w:t>
      </w:r>
      <w:r w:rsidR="00012E76" w:rsidRPr="005B7116">
        <w:t xml:space="preserve"> 200.8 </w:t>
      </w:r>
      <w:r w:rsidRPr="005B7116">
        <w:t>(94)</w:t>
      </w:r>
      <w:r w:rsidR="00012E76" w:rsidRPr="005B7116">
        <w:t xml:space="preserve">. </w:t>
      </w:r>
    </w:p>
    <w:p w14:paraId="70E9F059" w14:textId="77777777" w:rsidR="00012E76" w:rsidRPr="005B7116" w:rsidRDefault="00012E76" w:rsidP="00012E76"/>
    <w:p w14:paraId="59B68795" w14:textId="77777777" w:rsidR="00012E76" w:rsidRPr="005B7116" w:rsidRDefault="00215610" w:rsidP="00012E76">
      <w:pPr>
        <w:suppressAutoHyphens/>
        <w:ind w:left="2880" w:hanging="720"/>
      </w:pPr>
      <w:r w:rsidRPr="005B7116">
        <w:t>E</w:t>
      </w:r>
      <w:r w:rsidR="00012E76" w:rsidRPr="005B7116">
        <w:t>)</w:t>
      </w:r>
      <w:r w:rsidR="00012E76" w:rsidRPr="005B7116">
        <w:tab/>
        <w:t xml:space="preserve">Axially </w:t>
      </w:r>
      <w:r w:rsidRPr="005B7116">
        <w:t>Viewed Inductively Coupled Plasma-Atomic Emission Spectrometry</w:t>
      </w:r>
      <w:r w:rsidR="00012E76" w:rsidRPr="005B7116">
        <w:t xml:space="preserve"> (AVICP-AES)</w:t>
      </w:r>
      <w:r w:rsidRPr="005B7116">
        <w:t>.</w:t>
      </w:r>
      <w:r w:rsidR="00012E76" w:rsidRPr="005B7116">
        <w:t xml:space="preserve">  USEPA 200.5</w:t>
      </w:r>
      <w:r w:rsidRPr="005B7116">
        <w:t xml:space="preserve"> (03)</w:t>
      </w:r>
      <w:r w:rsidR="00012E76" w:rsidRPr="005B7116">
        <w:t>.</w:t>
      </w:r>
    </w:p>
    <w:p w14:paraId="4A7C45B5" w14:textId="77777777" w:rsidR="00012E76" w:rsidRPr="005B7116" w:rsidRDefault="00012E76" w:rsidP="005B7116"/>
    <w:p w14:paraId="1C8AFDC8" w14:textId="7810E36F" w:rsidR="005B7116" w:rsidRPr="005B7116" w:rsidRDefault="00012E76" w:rsidP="005B7116">
      <w:r w:rsidRPr="005B7116">
        <w:t>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in 40 CFR 143.4(b) and appendix A to subpart C of 40 CFR 141, for secondary MCLs.</w:t>
      </w:r>
      <w:r w:rsidR="005B7116" w:rsidRPr="005B7116">
        <w:t xml:space="preserve">  The Board has not separately listed the following approved alternative methods from Standard Methods Online that are the same version as a method that appears in a printed edition of Standard Methods.  Use of the Standard Methods Online copy is acceptable.</w:t>
      </w:r>
    </w:p>
    <w:p w14:paraId="1B36B102" w14:textId="77777777" w:rsidR="005B7116" w:rsidRPr="005B7116" w:rsidRDefault="005B7116" w:rsidP="005B7116"/>
    <w:p w14:paraId="1C315AEB" w14:textId="3AF20AD7" w:rsidR="005B7116" w:rsidRPr="005B7116" w:rsidRDefault="005B7116" w:rsidP="005B7116">
      <w:pPr>
        <w:ind w:left="720"/>
      </w:pPr>
      <w:r w:rsidRPr="005B7116">
        <w:t>Standard Methods Online, Method 3111 B-99 appears in the 21</w:t>
      </w:r>
      <w:r w:rsidRPr="005B7116">
        <w:rPr>
          <w:vertAlign w:val="superscript"/>
        </w:rPr>
        <w:t>st</w:t>
      </w:r>
      <w:r w:rsidRPr="005B7116">
        <w:t>, 22</w:t>
      </w:r>
      <w:r w:rsidRPr="005B7116">
        <w:rPr>
          <w:vertAlign w:val="superscript"/>
        </w:rPr>
        <w:t>nd</w:t>
      </w:r>
      <w:r w:rsidRPr="005B7116">
        <w:t>, 23</w:t>
      </w:r>
      <w:r w:rsidRPr="005B7116">
        <w:rPr>
          <w:vertAlign w:val="superscript"/>
        </w:rPr>
        <w:t>rd</w:t>
      </w:r>
      <w:r w:rsidR="000245A9">
        <w:t>, and 24</w:t>
      </w:r>
      <w:r w:rsidR="000245A9" w:rsidRPr="000245A9">
        <w:rPr>
          <w:vertAlign w:val="superscript"/>
        </w:rPr>
        <w:t>th</w:t>
      </w:r>
      <w:r w:rsidR="000245A9" w:rsidRPr="005B7116">
        <w:t xml:space="preserve"> </w:t>
      </w:r>
      <w:r w:rsidRPr="005B7116">
        <w:t>editions as Method 3111 B.  In this Section, this appears as SM 3111 B (99).</w:t>
      </w:r>
    </w:p>
    <w:p w14:paraId="2C799DE6" w14:textId="77777777" w:rsidR="005B7116" w:rsidRPr="005B7116" w:rsidRDefault="005B7116" w:rsidP="00DC2528"/>
    <w:p w14:paraId="50AB40B1" w14:textId="77777777" w:rsidR="005B7116" w:rsidRPr="005B7116" w:rsidRDefault="005B7116" w:rsidP="005B7116">
      <w:pPr>
        <w:ind w:left="720"/>
      </w:pPr>
      <w:r w:rsidRPr="005B7116">
        <w:t>Standard Methods Online, Method 3113 B-99 appears in the 21</w:t>
      </w:r>
      <w:r w:rsidRPr="005B7116">
        <w:rPr>
          <w:vertAlign w:val="superscript"/>
        </w:rPr>
        <w:t>st</w:t>
      </w:r>
      <w:r w:rsidRPr="005B7116">
        <w:t xml:space="preserve"> edition as Method 3113 B.  In this Section, this appears as SM 3113 B (99).</w:t>
      </w:r>
    </w:p>
    <w:p w14:paraId="54DDB2B9" w14:textId="77777777" w:rsidR="005B7116" w:rsidRPr="005B7116" w:rsidRDefault="005B7116" w:rsidP="00DC2528"/>
    <w:p w14:paraId="581E36AD" w14:textId="7296BB23" w:rsidR="005B7116" w:rsidRPr="005B7116" w:rsidRDefault="005B7116" w:rsidP="005B7116">
      <w:pPr>
        <w:ind w:left="720"/>
      </w:pPr>
      <w:r w:rsidRPr="005B7116">
        <w:t>Standard Methods Online, Method 3113 B-10 appears in the 22</w:t>
      </w:r>
      <w:r w:rsidRPr="005B7116">
        <w:rPr>
          <w:vertAlign w:val="superscript"/>
        </w:rPr>
        <w:t>nd</w:t>
      </w:r>
      <w:r w:rsidR="000245A9">
        <w:t xml:space="preserve">, </w:t>
      </w:r>
      <w:r w:rsidRPr="005B7116">
        <w:t>23</w:t>
      </w:r>
      <w:r w:rsidRPr="005B7116">
        <w:rPr>
          <w:vertAlign w:val="superscript"/>
        </w:rPr>
        <w:t>rd</w:t>
      </w:r>
      <w:r w:rsidR="000245A9">
        <w:t>, and 24</w:t>
      </w:r>
      <w:r w:rsidR="000245A9" w:rsidRPr="000245A9">
        <w:rPr>
          <w:vertAlign w:val="superscript"/>
        </w:rPr>
        <w:t>th</w:t>
      </w:r>
      <w:r w:rsidR="000245A9" w:rsidRPr="005B7116">
        <w:t xml:space="preserve"> </w:t>
      </w:r>
      <w:r w:rsidRPr="005B7116">
        <w:t>editions as Method 3113 B.  In this Section, this appears as SM 3113 B (10).</w:t>
      </w:r>
    </w:p>
    <w:p w14:paraId="1A247207" w14:textId="77777777" w:rsidR="005B7116" w:rsidRPr="005B7116" w:rsidRDefault="005B7116" w:rsidP="00DC2528"/>
    <w:p w14:paraId="03372E98" w14:textId="77777777" w:rsidR="005B7116" w:rsidRPr="005B7116" w:rsidRDefault="005B7116" w:rsidP="005B7116">
      <w:pPr>
        <w:ind w:left="720"/>
      </w:pPr>
      <w:r w:rsidRPr="005B7116">
        <w:lastRenderedPageBreak/>
        <w:t>Standard Methods Online, Method 3120 B-99 appears in the 21</w:t>
      </w:r>
      <w:r w:rsidRPr="005B7116">
        <w:rPr>
          <w:vertAlign w:val="superscript"/>
        </w:rPr>
        <w:t>st</w:t>
      </w:r>
      <w:r w:rsidRPr="005B7116">
        <w:t xml:space="preserve"> edition as Method 3120 B.  In this Section, this appears as SM 3120 B (99).</w:t>
      </w:r>
    </w:p>
    <w:p w14:paraId="77032B99" w14:textId="77777777" w:rsidR="00012E76" w:rsidRPr="005B7116" w:rsidRDefault="00012E76" w:rsidP="005B7116"/>
    <w:p w14:paraId="4FAC7722" w14:textId="6FA9F767" w:rsidR="009C3B35" w:rsidRDefault="000245A9" w:rsidP="009C3B35">
      <w:pPr>
        <w:pStyle w:val="JCARSourceNote"/>
        <w:ind w:left="720"/>
      </w:pPr>
      <w:r w:rsidRPr="004E27CF">
        <w:t xml:space="preserve">(Source:  Amended at </w:t>
      </w:r>
      <w:r w:rsidR="008F14FA">
        <w:t>50</w:t>
      </w:r>
      <w:r w:rsidRPr="004E27CF">
        <w:t xml:space="preserve"> Ill. Reg. </w:t>
      </w:r>
      <w:r w:rsidR="00F32CA7">
        <w:t>2531</w:t>
      </w:r>
      <w:r w:rsidRPr="004E27CF">
        <w:t xml:space="preserve">, effective </w:t>
      </w:r>
      <w:r w:rsidR="00F32CA7">
        <w:t>February 17, 2026</w:t>
      </w:r>
      <w:r w:rsidRPr="004E27CF">
        <w:t>)</w:t>
      </w:r>
    </w:p>
    <w:sectPr w:rsidR="009C3B35" w:rsidSect="00D55C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5CE9"/>
    <w:rsid w:val="00012E76"/>
    <w:rsid w:val="000245A9"/>
    <w:rsid w:val="00050B74"/>
    <w:rsid w:val="00073C80"/>
    <w:rsid w:val="000828D9"/>
    <w:rsid w:val="000D54F4"/>
    <w:rsid w:val="001219E5"/>
    <w:rsid w:val="001502F1"/>
    <w:rsid w:val="00166DA0"/>
    <w:rsid w:val="001806CF"/>
    <w:rsid w:val="00194A28"/>
    <w:rsid w:val="001C6EDE"/>
    <w:rsid w:val="00215610"/>
    <w:rsid w:val="002744EA"/>
    <w:rsid w:val="002839CE"/>
    <w:rsid w:val="002C312B"/>
    <w:rsid w:val="002D1A98"/>
    <w:rsid w:val="002F6625"/>
    <w:rsid w:val="0036584F"/>
    <w:rsid w:val="00382ACB"/>
    <w:rsid w:val="00396DFA"/>
    <w:rsid w:val="003D1C97"/>
    <w:rsid w:val="00407DD2"/>
    <w:rsid w:val="0045075C"/>
    <w:rsid w:val="00452088"/>
    <w:rsid w:val="0045460A"/>
    <w:rsid w:val="004D43B3"/>
    <w:rsid w:val="004E61CD"/>
    <w:rsid w:val="004E66B6"/>
    <w:rsid w:val="00520679"/>
    <w:rsid w:val="00535D3A"/>
    <w:rsid w:val="005B7116"/>
    <w:rsid w:val="005C3366"/>
    <w:rsid w:val="00621937"/>
    <w:rsid w:val="00622F9D"/>
    <w:rsid w:val="00653B75"/>
    <w:rsid w:val="00697C38"/>
    <w:rsid w:val="006F3624"/>
    <w:rsid w:val="007045A4"/>
    <w:rsid w:val="0071638C"/>
    <w:rsid w:val="007200F1"/>
    <w:rsid w:val="00745E96"/>
    <w:rsid w:val="007872E4"/>
    <w:rsid w:val="00795313"/>
    <w:rsid w:val="007A1773"/>
    <w:rsid w:val="008F14FA"/>
    <w:rsid w:val="00901E86"/>
    <w:rsid w:val="00914C3D"/>
    <w:rsid w:val="00942B86"/>
    <w:rsid w:val="00951C93"/>
    <w:rsid w:val="00975244"/>
    <w:rsid w:val="009C3B35"/>
    <w:rsid w:val="009F330E"/>
    <w:rsid w:val="00A42D2A"/>
    <w:rsid w:val="00A535AB"/>
    <w:rsid w:val="00A7437C"/>
    <w:rsid w:val="00AD264A"/>
    <w:rsid w:val="00AF7003"/>
    <w:rsid w:val="00B035EF"/>
    <w:rsid w:val="00B175BA"/>
    <w:rsid w:val="00BA6719"/>
    <w:rsid w:val="00BC7537"/>
    <w:rsid w:val="00C30DA7"/>
    <w:rsid w:val="00C4792F"/>
    <w:rsid w:val="00C976E1"/>
    <w:rsid w:val="00CA6DBA"/>
    <w:rsid w:val="00CB0CBB"/>
    <w:rsid w:val="00CE4F54"/>
    <w:rsid w:val="00D32D58"/>
    <w:rsid w:val="00D55CE9"/>
    <w:rsid w:val="00D76709"/>
    <w:rsid w:val="00D92066"/>
    <w:rsid w:val="00DB0664"/>
    <w:rsid w:val="00DB2D10"/>
    <w:rsid w:val="00DC2528"/>
    <w:rsid w:val="00DF33C8"/>
    <w:rsid w:val="00E06E2F"/>
    <w:rsid w:val="00E3342D"/>
    <w:rsid w:val="00E36700"/>
    <w:rsid w:val="00E51585"/>
    <w:rsid w:val="00E76454"/>
    <w:rsid w:val="00F327A2"/>
    <w:rsid w:val="00F32CA7"/>
    <w:rsid w:val="00F6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E4975"/>
  <w15:docId w15:val="{ECB255A8-7231-4660-A386-2C89B279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E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5313"/>
  </w:style>
  <w:style w:type="paragraph" w:styleId="BalloonText">
    <w:name w:val="Balloon Text"/>
    <w:basedOn w:val="Normal"/>
    <w:semiHidden/>
    <w:rsid w:val="00535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179">
      <w:bodyDiv w:val="1"/>
      <w:marLeft w:val="0"/>
      <w:marRight w:val="0"/>
      <w:marTop w:val="0"/>
      <w:marBottom w:val="0"/>
      <w:divBdr>
        <w:top w:val="none" w:sz="0" w:space="0" w:color="auto"/>
        <w:left w:val="none" w:sz="0" w:space="0" w:color="auto"/>
        <w:bottom w:val="none" w:sz="0" w:space="0" w:color="auto"/>
        <w:right w:val="none" w:sz="0" w:space="0" w:color="auto"/>
      </w:divBdr>
    </w:div>
    <w:div w:id="10395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2026-02-25T13:49:00Z</dcterms:created>
  <dcterms:modified xsi:type="dcterms:W3CDTF">2026-02-27T13:48:00Z</dcterms:modified>
</cp:coreProperties>
</file>