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662C" w14:textId="77777777" w:rsidR="009B2941" w:rsidRDefault="009B2941" w:rsidP="00F1284D">
      <w:pPr>
        <w:widowControl w:val="0"/>
        <w:autoSpaceDE w:val="0"/>
        <w:autoSpaceDN w:val="0"/>
        <w:adjustRightInd w:val="0"/>
        <w:rPr>
          <w:b/>
          <w:bCs/>
        </w:rPr>
      </w:pPr>
    </w:p>
    <w:p w14:paraId="436E53D7" w14:textId="77777777" w:rsidR="00F1284D" w:rsidRDefault="00F1284D" w:rsidP="00F1284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611.301  Revised </w:t>
      </w:r>
      <w:proofErr w:type="spellStart"/>
      <w:r>
        <w:rPr>
          <w:b/>
          <w:bCs/>
        </w:rPr>
        <w:t>MCLs</w:t>
      </w:r>
      <w:proofErr w:type="spellEnd"/>
      <w:r>
        <w:rPr>
          <w:b/>
          <w:bCs/>
        </w:rPr>
        <w:t xml:space="preserve"> for Inorganic </w:t>
      </w:r>
      <w:r w:rsidR="00F122A0">
        <w:rPr>
          <w:b/>
          <w:bCs/>
        </w:rPr>
        <w:t xml:space="preserve">Chemical Contaminants </w:t>
      </w:r>
    </w:p>
    <w:p w14:paraId="7A933F3C" w14:textId="77777777" w:rsidR="00F1284D" w:rsidRDefault="00F1284D" w:rsidP="00F1284D">
      <w:pPr>
        <w:widowControl w:val="0"/>
        <w:autoSpaceDE w:val="0"/>
        <w:autoSpaceDN w:val="0"/>
        <w:adjustRightInd w:val="0"/>
      </w:pPr>
    </w:p>
    <w:p w14:paraId="7DEDE2B8" w14:textId="77777777" w:rsidR="00F1284D" w:rsidRDefault="00F1284D" w:rsidP="00F128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subsection corresponds with 40 CFR 141.62(a), reserved by USEPA. This statement maintains structural consistency with USEPA rules. </w:t>
      </w:r>
    </w:p>
    <w:p w14:paraId="2A1FABD9" w14:textId="77777777" w:rsidR="0067621B" w:rsidRDefault="0067621B" w:rsidP="00A12A66">
      <w:pPr>
        <w:widowControl w:val="0"/>
        <w:autoSpaceDE w:val="0"/>
        <w:autoSpaceDN w:val="0"/>
        <w:adjustRightInd w:val="0"/>
      </w:pPr>
    </w:p>
    <w:p w14:paraId="1C10792E" w14:textId="77777777" w:rsidR="00F1284D" w:rsidRDefault="00F1284D" w:rsidP="00F128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MCLs</w:t>
      </w:r>
      <w:proofErr w:type="spellEnd"/>
      <w:r>
        <w:t xml:space="preserve"> in the following table apply to </w:t>
      </w:r>
      <w:proofErr w:type="spellStart"/>
      <w:r>
        <w:t>CWSs</w:t>
      </w:r>
      <w:proofErr w:type="spellEnd"/>
      <w:r>
        <w:t xml:space="preserve">.  Except for fluoride, the </w:t>
      </w:r>
      <w:proofErr w:type="spellStart"/>
      <w:r>
        <w:t>MCLs</w:t>
      </w:r>
      <w:proofErr w:type="spellEnd"/>
      <w:r>
        <w:t xml:space="preserve"> also apply to </w:t>
      </w:r>
      <w:proofErr w:type="spellStart"/>
      <w:r>
        <w:t>NTNCWSs</w:t>
      </w:r>
      <w:proofErr w:type="spellEnd"/>
      <w:r>
        <w:t xml:space="preserve">.  The </w:t>
      </w:r>
      <w:proofErr w:type="spellStart"/>
      <w:r>
        <w:t>MCLs</w:t>
      </w:r>
      <w:proofErr w:type="spellEnd"/>
      <w:r>
        <w:t xml:space="preserve"> for nitrate, nitrite, and total nitrate and nitrite also apply to transient non-</w:t>
      </w:r>
      <w:proofErr w:type="spellStart"/>
      <w:r>
        <w:t>CWSs</w:t>
      </w:r>
      <w:proofErr w:type="spellEnd"/>
      <w:r>
        <w:t xml:space="preserve">. </w:t>
      </w:r>
    </w:p>
    <w:p w14:paraId="3F0588EB" w14:textId="77777777" w:rsidR="00F1284D" w:rsidRDefault="00F1284D" w:rsidP="00A12A66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3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4560"/>
        <w:gridCol w:w="1653"/>
        <w:gridCol w:w="1926"/>
      </w:tblGrid>
      <w:tr w:rsidR="00F1284D" w14:paraId="13DAEEDB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262637B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Contaminant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38F43CC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MCL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4A28A1FB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Units</w:t>
            </w:r>
          </w:p>
        </w:tc>
      </w:tr>
      <w:tr w:rsidR="00F1284D" w14:paraId="38A9E523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10A04C6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8660922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4D7911BA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284D" w14:paraId="27AF5C26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8C83E03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Antimony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4FFF22C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0.006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49FA7034" w14:textId="2E6D8BBF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1EA301F9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D6EEECE" w14:textId="77777777" w:rsidR="00F1284D" w:rsidRDefault="00F1284D" w:rsidP="002C236B">
            <w:pPr>
              <w:widowControl w:val="0"/>
              <w:autoSpaceDE w:val="0"/>
              <w:autoSpaceDN w:val="0"/>
              <w:adjustRightInd w:val="0"/>
            </w:pPr>
            <w:r>
              <w:t xml:space="preserve">Arsenic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3CC15DF" w14:textId="77777777" w:rsidR="00F1284D" w:rsidRDefault="003F7016" w:rsidP="00F1284D">
            <w:pPr>
              <w:widowControl w:val="0"/>
              <w:autoSpaceDE w:val="0"/>
              <w:autoSpaceDN w:val="0"/>
              <w:adjustRightInd w:val="0"/>
            </w:pPr>
            <w:r>
              <w:t>0.010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76FFF53" w14:textId="3B96F59B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62AF9B53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E8F79CE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Asbestos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140D790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F9A6F5F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MFL</w:t>
            </w:r>
            <w:proofErr w:type="spellEnd"/>
          </w:p>
        </w:tc>
      </w:tr>
      <w:tr w:rsidR="00F1284D" w14:paraId="58D64AC6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5E6BD43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Barium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FF75B59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4F786562" w14:textId="2958FF45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1C54E28C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FFF7688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Beryllium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67308C2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0.004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623F403" w14:textId="5645CA3D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5ABE1C1A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F83C4F6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Cadmium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D2802BB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0.005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02FDB965" w14:textId="4E6C6DA3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4748D7A1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A48E511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Chromium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988A2ED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9DF5190" w14:textId="30B6DA23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0BD46033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0851EEB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Cyanide (as free CN</w:t>
            </w:r>
            <w:r w:rsidRPr="00BD2B07">
              <w:rPr>
                <w:vertAlign w:val="superscript"/>
              </w:rPr>
              <w:t>-</w:t>
            </w:r>
            <w: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DFFF8A3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FF241D4" w14:textId="71DB34F9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2C4C0F32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D7B3381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Fluoride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A73D7CC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4.0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92A715F" w14:textId="018C2082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7DF412E9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CEFC827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Mercury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5DE7BF4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1345F5D1" w14:textId="77C7CC00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0CB3E24E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786797F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Nitrate (as N)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CEFB290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2A20558" w14:textId="46EA25B8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1C6A3B8B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BFD7BF0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Nitrite (as N)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6888977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6F0E8DFE" w14:textId="1FB5E3AE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255A36DF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27AF71F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Total Nitrate and Nitrite</w:t>
            </w:r>
            <w:r w:rsidR="00A97B74">
              <w:t xml:space="preserve"> (as N)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2673FDF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E0A1F29" w14:textId="1FEC49E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63DCA0AD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0F7CDB9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Selenium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D9BFB57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405F6DF" w14:textId="46DBE58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  <w:tr w:rsidR="00F1284D" w14:paraId="650292F9" w14:textId="77777777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20CFA9F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Thallium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6F75D35" w14:textId="77777777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ABFA3FA" w14:textId="7D01583C" w:rsidR="00F1284D" w:rsidRDefault="00F1284D" w:rsidP="00F1284D">
            <w:pPr>
              <w:widowControl w:val="0"/>
              <w:autoSpaceDE w:val="0"/>
              <w:autoSpaceDN w:val="0"/>
              <w:adjustRightInd w:val="0"/>
            </w:pPr>
            <w:r>
              <w:t>mg/</w:t>
            </w:r>
            <w:r w:rsidR="00492D3D">
              <w:t>L</w:t>
            </w:r>
          </w:p>
        </w:tc>
      </w:tr>
    </w:tbl>
    <w:p w14:paraId="2ECD3C8A" w14:textId="77777777" w:rsidR="00F1284D" w:rsidRDefault="00F1284D" w:rsidP="00A12A66">
      <w:pPr>
        <w:widowControl w:val="0"/>
        <w:autoSpaceDE w:val="0"/>
        <w:autoSpaceDN w:val="0"/>
        <w:adjustRightInd w:val="0"/>
      </w:pPr>
    </w:p>
    <w:p w14:paraId="12984B0F" w14:textId="37A30117" w:rsidR="00F1284D" w:rsidRDefault="00F1284D" w:rsidP="00DC0A82">
      <w:pPr>
        <w:widowControl w:val="0"/>
        <w:autoSpaceDE w:val="0"/>
        <w:autoSpaceDN w:val="0"/>
        <w:adjustRightInd w:val="0"/>
        <w:ind w:left="2166" w:firstLine="15"/>
      </w:pPr>
      <w:r>
        <w:t>BOARD NOTE:  See Section 611.300(d) for an elevated nitrate level for non-</w:t>
      </w:r>
      <w:proofErr w:type="spellStart"/>
      <w:r>
        <w:t>CWSs</w:t>
      </w:r>
      <w:proofErr w:type="spellEnd"/>
      <w:r>
        <w:t xml:space="preserve">. USEPA removed and reserved the MCL for nickel on June 29, 1995, at 60 Fed. Reg. 33932, as a result of a judicial order in Nickel Development Institute v. EPA, No. 92-1407, and Specialty Steel Industry of the U.S. v. Browner, No. 92-1410 (D.C. Cir. Feb. 23 &amp; Mar. 6, 1995), while retaining the contaminant, analytical methodology, and detection limit </w:t>
      </w:r>
      <w:r w:rsidR="003D304D">
        <w:t>entries</w:t>
      </w:r>
      <w:r>
        <w:t xml:space="preserve"> for this contaminant. </w:t>
      </w:r>
    </w:p>
    <w:p w14:paraId="77843884" w14:textId="77777777" w:rsidR="00A22688" w:rsidRDefault="00A22688" w:rsidP="00A12A66">
      <w:pPr>
        <w:widowControl w:val="0"/>
        <w:autoSpaceDE w:val="0"/>
        <w:autoSpaceDN w:val="0"/>
        <w:adjustRightInd w:val="0"/>
      </w:pPr>
    </w:p>
    <w:p w14:paraId="26791764" w14:textId="35A1F783" w:rsidR="00F1284D" w:rsidRDefault="00F1284D" w:rsidP="00F128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USEPA </w:t>
      </w:r>
      <w:r w:rsidR="003D304D" w:rsidRPr="003D304D">
        <w:t>identifies specific treatment technologies</w:t>
      </w:r>
      <w:r>
        <w:t xml:space="preserve"> as BAT for achieving compliance with the </w:t>
      </w:r>
      <w:r w:rsidR="003D304D" w:rsidRPr="003D304D">
        <w:t xml:space="preserve">IOC </w:t>
      </w:r>
      <w:proofErr w:type="spellStart"/>
      <w:r w:rsidR="003D304D" w:rsidRPr="003D304D">
        <w:t>MCLs</w:t>
      </w:r>
      <w:proofErr w:type="spellEnd"/>
      <w:r>
        <w:t xml:space="preserve">, except for fluoride: </w:t>
      </w:r>
    </w:p>
    <w:p w14:paraId="0E831F7D" w14:textId="77777777" w:rsidR="00F1284D" w:rsidRDefault="00F1284D" w:rsidP="00A12A66">
      <w:pPr>
        <w:widowControl w:val="0"/>
        <w:autoSpaceDE w:val="0"/>
        <w:autoSpaceDN w:val="0"/>
        <w:adjustRightInd w:val="0"/>
      </w:pPr>
    </w:p>
    <w:tbl>
      <w:tblPr>
        <w:tblW w:w="7353" w:type="dxa"/>
        <w:tblInd w:w="2274" w:type="dxa"/>
        <w:tblLook w:val="0000" w:firstRow="0" w:lastRow="0" w:firstColumn="0" w:lastColumn="0" w:noHBand="0" w:noVBand="0"/>
      </w:tblPr>
      <w:tblGrid>
        <w:gridCol w:w="3027"/>
        <w:gridCol w:w="4326"/>
      </w:tblGrid>
      <w:tr w:rsidR="00B8648E" w14:paraId="1D3DD997" w14:textId="77777777">
        <w:tc>
          <w:tcPr>
            <w:tcW w:w="3027" w:type="dxa"/>
          </w:tcPr>
          <w:p w14:paraId="575BAED0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  <w:r>
              <w:t>Contaminant</w:t>
            </w:r>
          </w:p>
        </w:tc>
        <w:tc>
          <w:tcPr>
            <w:tcW w:w="4326" w:type="dxa"/>
          </w:tcPr>
          <w:p w14:paraId="734E4870" w14:textId="77777777" w:rsidR="00B8648E" w:rsidRDefault="00F122A0" w:rsidP="00F1284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BATs</w:t>
            </w:r>
            <w:proofErr w:type="spellEnd"/>
          </w:p>
        </w:tc>
      </w:tr>
      <w:tr w:rsidR="00074DC1" w14:paraId="06CBA0FF" w14:textId="77777777">
        <w:tc>
          <w:tcPr>
            <w:tcW w:w="3027" w:type="dxa"/>
          </w:tcPr>
          <w:p w14:paraId="68D134B8" w14:textId="77777777" w:rsidR="00074DC1" w:rsidRDefault="00074DC1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3CE05FE5" w14:textId="77777777" w:rsidR="00074DC1" w:rsidRDefault="00074DC1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48E" w14:paraId="23503907" w14:textId="77777777">
        <w:tc>
          <w:tcPr>
            <w:tcW w:w="3027" w:type="dxa"/>
          </w:tcPr>
          <w:p w14:paraId="4CEC1115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  <w:r>
              <w:t>Antimony</w:t>
            </w:r>
          </w:p>
        </w:tc>
        <w:tc>
          <w:tcPr>
            <w:tcW w:w="4326" w:type="dxa"/>
          </w:tcPr>
          <w:p w14:paraId="1758202F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  <w:r>
              <w:t>C/F</w:t>
            </w:r>
          </w:p>
          <w:p w14:paraId="2AD75E7A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  <w:r>
              <w:t>RO</w:t>
            </w:r>
          </w:p>
        </w:tc>
      </w:tr>
      <w:tr w:rsidR="00A13AE5" w14:paraId="0AB26372" w14:textId="77777777">
        <w:tc>
          <w:tcPr>
            <w:tcW w:w="3027" w:type="dxa"/>
          </w:tcPr>
          <w:p w14:paraId="57A878B0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752AEC26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2B07" w14:paraId="40C598FB" w14:textId="77777777">
        <w:tc>
          <w:tcPr>
            <w:tcW w:w="3027" w:type="dxa"/>
            <w:vMerge w:val="restart"/>
          </w:tcPr>
          <w:p w14:paraId="789DC6C8" w14:textId="77777777" w:rsidR="00BD2B07" w:rsidRDefault="00BD2B07" w:rsidP="00A97B74">
            <w:pPr>
              <w:widowControl w:val="0"/>
              <w:autoSpaceDE w:val="0"/>
              <w:autoSpaceDN w:val="0"/>
              <w:adjustRightInd w:val="0"/>
              <w:ind w:right="1032"/>
            </w:pPr>
            <w:r>
              <w:t>Arsenic (</w:t>
            </w:r>
            <w:proofErr w:type="spellStart"/>
            <w:r>
              <w:t>BATs</w:t>
            </w:r>
            <w:proofErr w:type="spellEnd"/>
            <w:r>
              <w:t xml:space="preserve"> for </w:t>
            </w:r>
            <w:proofErr w:type="spellStart"/>
            <w:r>
              <w:t>As</w:t>
            </w:r>
            <w:r>
              <w:rPr>
                <w:vertAlign w:val="superscript"/>
              </w:rPr>
              <w:t>V</w:t>
            </w:r>
            <w:proofErr w:type="spellEnd"/>
            <w:r>
              <w:t>. Pre-</w:t>
            </w:r>
            <w:r>
              <w:lastRenderedPageBreak/>
              <w:t xml:space="preserve">oxidation may be required to convert </w:t>
            </w:r>
            <w:proofErr w:type="spellStart"/>
            <w:r>
              <w:t>As</w:t>
            </w:r>
            <w:r>
              <w:rPr>
                <w:vertAlign w:val="superscript"/>
              </w:rPr>
              <w:t>III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to </w:t>
            </w:r>
            <w:proofErr w:type="spellStart"/>
            <w:r>
              <w:t>As</w:t>
            </w:r>
            <w:r>
              <w:rPr>
                <w:vertAlign w:val="superscript"/>
              </w:rPr>
              <w:t>V</w:t>
            </w:r>
            <w:proofErr w:type="spellEnd"/>
            <w:r>
              <w:t>.)</w:t>
            </w:r>
          </w:p>
        </w:tc>
        <w:tc>
          <w:tcPr>
            <w:tcW w:w="4326" w:type="dxa"/>
          </w:tcPr>
          <w:p w14:paraId="57DFD39A" w14:textId="77777777" w:rsidR="00BD2B07" w:rsidRDefault="00BD2B07" w:rsidP="00F1284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AAL</w:t>
            </w:r>
          </w:p>
        </w:tc>
      </w:tr>
      <w:tr w:rsidR="00BD2B07" w14:paraId="3CA2B6F5" w14:textId="77777777">
        <w:tc>
          <w:tcPr>
            <w:tcW w:w="3027" w:type="dxa"/>
            <w:vMerge/>
          </w:tcPr>
          <w:p w14:paraId="778AAD72" w14:textId="77777777" w:rsidR="00BD2B07" w:rsidRDefault="00BD2B07" w:rsidP="00A97B74">
            <w:pPr>
              <w:widowControl w:val="0"/>
              <w:autoSpaceDE w:val="0"/>
              <w:autoSpaceDN w:val="0"/>
              <w:adjustRightInd w:val="0"/>
              <w:ind w:right="1032"/>
            </w:pPr>
          </w:p>
        </w:tc>
        <w:tc>
          <w:tcPr>
            <w:tcW w:w="4326" w:type="dxa"/>
          </w:tcPr>
          <w:p w14:paraId="1E2CED92" w14:textId="77777777" w:rsidR="00BD2B07" w:rsidRDefault="00BD2B07" w:rsidP="00F1284D">
            <w:pPr>
              <w:widowControl w:val="0"/>
              <w:autoSpaceDE w:val="0"/>
              <w:autoSpaceDN w:val="0"/>
              <w:adjustRightInd w:val="0"/>
            </w:pPr>
            <w:r>
              <w:t>C/F</w:t>
            </w:r>
          </w:p>
        </w:tc>
      </w:tr>
      <w:tr w:rsidR="00BD2B07" w14:paraId="704538B9" w14:textId="77777777">
        <w:tc>
          <w:tcPr>
            <w:tcW w:w="3027" w:type="dxa"/>
            <w:vMerge/>
          </w:tcPr>
          <w:p w14:paraId="4951A254" w14:textId="77777777" w:rsidR="00BD2B07" w:rsidRPr="00B8648E" w:rsidRDefault="00BD2B0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5BCD5BBD" w14:textId="77777777" w:rsidR="00BD2B07" w:rsidRDefault="00BD2B07" w:rsidP="00F1284D">
            <w:pPr>
              <w:widowControl w:val="0"/>
              <w:autoSpaceDE w:val="0"/>
              <w:autoSpaceDN w:val="0"/>
              <w:adjustRightInd w:val="0"/>
            </w:pPr>
            <w:r>
              <w:t>IX</w:t>
            </w:r>
          </w:p>
        </w:tc>
      </w:tr>
      <w:tr w:rsidR="00BD2B07" w14:paraId="2E7EAD78" w14:textId="77777777">
        <w:tc>
          <w:tcPr>
            <w:tcW w:w="3027" w:type="dxa"/>
            <w:vMerge/>
          </w:tcPr>
          <w:p w14:paraId="2A9E13F5" w14:textId="77777777" w:rsidR="00BD2B07" w:rsidRDefault="00BD2B0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0D70767F" w14:textId="77777777" w:rsidR="00BD2B07" w:rsidRDefault="00BD2B07" w:rsidP="00F1284D">
            <w:pPr>
              <w:widowControl w:val="0"/>
              <w:autoSpaceDE w:val="0"/>
              <w:autoSpaceDN w:val="0"/>
              <w:adjustRightInd w:val="0"/>
            </w:pPr>
            <w:r>
              <w:t>LIME</w:t>
            </w:r>
          </w:p>
        </w:tc>
      </w:tr>
      <w:tr w:rsidR="00BD2B07" w14:paraId="090EE967" w14:textId="77777777">
        <w:tc>
          <w:tcPr>
            <w:tcW w:w="3027" w:type="dxa"/>
            <w:vMerge/>
          </w:tcPr>
          <w:p w14:paraId="4CD1AB6F" w14:textId="77777777" w:rsidR="00BD2B07" w:rsidRDefault="00BD2B0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22AAAF2C" w14:textId="77777777" w:rsidR="00BD2B07" w:rsidRDefault="00BD2B07" w:rsidP="00F1284D">
            <w:pPr>
              <w:widowControl w:val="0"/>
              <w:autoSpaceDE w:val="0"/>
              <w:autoSpaceDN w:val="0"/>
              <w:adjustRightInd w:val="0"/>
            </w:pPr>
            <w:r>
              <w:t>RO</w:t>
            </w:r>
          </w:p>
        </w:tc>
      </w:tr>
      <w:tr w:rsidR="00BD2B07" w14:paraId="660B8182" w14:textId="77777777">
        <w:tc>
          <w:tcPr>
            <w:tcW w:w="3027" w:type="dxa"/>
            <w:vMerge/>
          </w:tcPr>
          <w:p w14:paraId="1C1CD3A9" w14:textId="77777777" w:rsidR="00BD2B07" w:rsidRDefault="00BD2B0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18F0B990" w14:textId="77777777" w:rsidR="00BD2B07" w:rsidRDefault="00BD2B07" w:rsidP="00F1284D">
            <w:pPr>
              <w:widowControl w:val="0"/>
              <w:autoSpaceDE w:val="0"/>
              <w:autoSpaceDN w:val="0"/>
              <w:adjustRightInd w:val="0"/>
            </w:pPr>
            <w:r>
              <w:t>ED</w:t>
            </w:r>
          </w:p>
        </w:tc>
      </w:tr>
      <w:tr w:rsidR="00BD2B07" w14:paraId="702A3851" w14:textId="77777777">
        <w:trPr>
          <w:trHeight w:val="20"/>
        </w:trPr>
        <w:tc>
          <w:tcPr>
            <w:tcW w:w="3027" w:type="dxa"/>
            <w:vMerge/>
          </w:tcPr>
          <w:p w14:paraId="62743AE8" w14:textId="77777777" w:rsidR="00BD2B07" w:rsidRPr="004166CB" w:rsidRDefault="00BD2B0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2004B897" w14:textId="21A13887" w:rsidR="00074DC1" w:rsidRDefault="00BD2B07" w:rsidP="00F1284D">
            <w:pPr>
              <w:widowControl w:val="0"/>
              <w:autoSpaceDE w:val="0"/>
              <w:autoSpaceDN w:val="0"/>
              <w:adjustRightInd w:val="0"/>
            </w:pPr>
            <w:r>
              <w:t>O/F (</w:t>
            </w:r>
            <w:r w:rsidR="003D304D">
              <w:t>to</w:t>
            </w:r>
            <w:r>
              <w:t xml:space="preserve"> obtain high removals, the iron to arsenic ratio must be at least 20:1)</w:t>
            </w:r>
          </w:p>
        </w:tc>
      </w:tr>
      <w:tr w:rsidR="00A13AE5" w14:paraId="0F696173" w14:textId="77777777">
        <w:trPr>
          <w:trHeight w:val="20"/>
        </w:trPr>
        <w:tc>
          <w:tcPr>
            <w:tcW w:w="3027" w:type="dxa"/>
          </w:tcPr>
          <w:p w14:paraId="1EBF75DC" w14:textId="77777777" w:rsidR="00A13AE5" w:rsidRPr="004166CB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32194B45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48E" w14:paraId="22593400" w14:textId="77777777">
        <w:tc>
          <w:tcPr>
            <w:tcW w:w="3027" w:type="dxa"/>
          </w:tcPr>
          <w:p w14:paraId="58CC21E9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Asbestos</w:t>
            </w:r>
          </w:p>
        </w:tc>
        <w:tc>
          <w:tcPr>
            <w:tcW w:w="4326" w:type="dxa"/>
          </w:tcPr>
          <w:p w14:paraId="2A3DDD22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C/F</w:t>
            </w:r>
          </w:p>
        </w:tc>
      </w:tr>
      <w:tr w:rsidR="00B8648E" w14:paraId="10EE9818" w14:textId="77777777">
        <w:tc>
          <w:tcPr>
            <w:tcW w:w="3027" w:type="dxa"/>
          </w:tcPr>
          <w:p w14:paraId="532CA4E3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72BE7DD7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DDF</w:t>
            </w:r>
            <w:proofErr w:type="spellEnd"/>
          </w:p>
        </w:tc>
      </w:tr>
      <w:tr w:rsidR="00B8648E" w14:paraId="2B4E9134" w14:textId="77777777">
        <w:tc>
          <w:tcPr>
            <w:tcW w:w="3027" w:type="dxa"/>
          </w:tcPr>
          <w:p w14:paraId="2C4D9548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3764A65A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CC</w:t>
            </w:r>
          </w:p>
        </w:tc>
      </w:tr>
      <w:tr w:rsidR="00A13AE5" w14:paraId="5543A5F6" w14:textId="77777777">
        <w:tc>
          <w:tcPr>
            <w:tcW w:w="3027" w:type="dxa"/>
          </w:tcPr>
          <w:p w14:paraId="00254ED0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324D29A6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48E" w14:paraId="1D432CC9" w14:textId="77777777">
        <w:tc>
          <w:tcPr>
            <w:tcW w:w="3027" w:type="dxa"/>
          </w:tcPr>
          <w:p w14:paraId="1F42C2BC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Barium</w:t>
            </w:r>
          </w:p>
        </w:tc>
        <w:tc>
          <w:tcPr>
            <w:tcW w:w="4326" w:type="dxa"/>
          </w:tcPr>
          <w:p w14:paraId="5F355D25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IX</w:t>
            </w:r>
          </w:p>
        </w:tc>
      </w:tr>
      <w:tr w:rsidR="00B8648E" w14:paraId="28071EF4" w14:textId="77777777">
        <w:tc>
          <w:tcPr>
            <w:tcW w:w="3027" w:type="dxa"/>
          </w:tcPr>
          <w:p w14:paraId="3519D46A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3AF6C598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LIME</w:t>
            </w:r>
          </w:p>
        </w:tc>
      </w:tr>
      <w:tr w:rsidR="00B8648E" w14:paraId="6AC60A2F" w14:textId="77777777">
        <w:tc>
          <w:tcPr>
            <w:tcW w:w="3027" w:type="dxa"/>
          </w:tcPr>
          <w:p w14:paraId="343B3C1A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5F7D7388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RO</w:t>
            </w:r>
          </w:p>
        </w:tc>
      </w:tr>
      <w:tr w:rsidR="00B8648E" w14:paraId="4952B453" w14:textId="77777777">
        <w:tc>
          <w:tcPr>
            <w:tcW w:w="3027" w:type="dxa"/>
          </w:tcPr>
          <w:p w14:paraId="4A81AEDA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6C1DABBF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ED</w:t>
            </w:r>
          </w:p>
        </w:tc>
      </w:tr>
      <w:tr w:rsidR="00A13AE5" w14:paraId="2CDBD48E" w14:textId="77777777">
        <w:tc>
          <w:tcPr>
            <w:tcW w:w="3027" w:type="dxa"/>
          </w:tcPr>
          <w:p w14:paraId="04DCAA66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2081C128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48E" w14:paraId="1AE705A6" w14:textId="77777777">
        <w:tc>
          <w:tcPr>
            <w:tcW w:w="3027" w:type="dxa"/>
          </w:tcPr>
          <w:p w14:paraId="087607D5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Beryllium</w:t>
            </w:r>
          </w:p>
        </w:tc>
        <w:tc>
          <w:tcPr>
            <w:tcW w:w="4326" w:type="dxa"/>
          </w:tcPr>
          <w:p w14:paraId="33172B5B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AA</w:t>
            </w:r>
          </w:p>
        </w:tc>
      </w:tr>
      <w:tr w:rsidR="00B8648E" w14:paraId="5D856ADF" w14:textId="77777777">
        <w:tc>
          <w:tcPr>
            <w:tcW w:w="3027" w:type="dxa"/>
          </w:tcPr>
          <w:p w14:paraId="2BD05EA3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73CB68EE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C/F</w:t>
            </w:r>
          </w:p>
        </w:tc>
      </w:tr>
      <w:tr w:rsidR="00B8648E" w14:paraId="7CC11DB8" w14:textId="77777777">
        <w:tc>
          <w:tcPr>
            <w:tcW w:w="3027" w:type="dxa"/>
          </w:tcPr>
          <w:p w14:paraId="6261C2F4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5B80F197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IX</w:t>
            </w:r>
          </w:p>
        </w:tc>
      </w:tr>
      <w:tr w:rsidR="00B8648E" w14:paraId="0D4F8DB2" w14:textId="77777777">
        <w:tc>
          <w:tcPr>
            <w:tcW w:w="3027" w:type="dxa"/>
          </w:tcPr>
          <w:p w14:paraId="179E2351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28BD9D7D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LIME</w:t>
            </w:r>
          </w:p>
        </w:tc>
      </w:tr>
      <w:tr w:rsidR="00B8648E" w14:paraId="623C1609" w14:textId="77777777">
        <w:tc>
          <w:tcPr>
            <w:tcW w:w="3027" w:type="dxa"/>
          </w:tcPr>
          <w:p w14:paraId="3FFB8B81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3023A34A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RO</w:t>
            </w:r>
          </w:p>
        </w:tc>
      </w:tr>
      <w:tr w:rsidR="00A13AE5" w14:paraId="1F839A5D" w14:textId="77777777">
        <w:tc>
          <w:tcPr>
            <w:tcW w:w="3027" w:type="dxa"/>
          </w:tcPr>
          <w:p w14:paraId="36265467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7780B3EE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48E" w14:paraId="3BF514DC" w14:textId="77777777">
        <w:tc>
          <w:tcPr>
            <w:tcW w:w="3027" w:type="dxa"/>
          </w:tcPr>
          <w:p w14:paraId="16C5A0A7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Cadmium</w:t>
            </w:r>
          </w:p>
        </w:tc>
        <w:tc>
          <w:tcPr>
            <w:tcW w:w="4326" w:type="dxa"/>
          </w:tcPr>
          <w:p w14:paraId="36B0E95B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C/F</w:t>
            </w:r>
          </w:p>
        </w:tc>
      </w:tr>
      <w:tr w:rsidR="00B8648E" w14:paraId="7F2611CF" w14:textId="77777777">
        <w:tc>
          <w:tcPr>
            <w:tcW w:w="3027" w:type="dxa"/>
          </w:tcPr>
          <w:p w14:paraId="442E1CBB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3810FF7C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IX</w:t>
            </w:r>
          </w:p>
        </w:tc>
      </w:tr>
      <w:tr w:rsidR="00B8648E" w14:paraId="6EB47CC6" w14:textId="77777777">
        <w:tc>
          <w:tcPr>
            <w:tcW w:w="3027" w:type="dxa"/>
          </w:tcPr>
          <w:p w14:paraId="72862343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1F03C54A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LIME</w:t>
            </w:r>
          </w:p>
        </w:tc>
      </w:tr>
      <w:tr w:rsidR="00B8648E" w14:paraId="42DA9ED5" w14:textId="77777777">
        <w:tc>
          <w:tcPr>
            <w:tcW w:w="3027" w:type="dxa"/>
          </w:tcPr>
          <w:p w14:paraId="1D23B06B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7D33AF57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RO</w:t>
            </w:r>
          </w:p>
        </w:tc>
      </w:tr>
      <w:tr w:rsidR="00A13AE5" w14:paraId="172A4CE7" w14:textId="77777777">
        <w:tc>
          <w:tcPr>
            <w:tcW w:w="3027" w:type="dxa"/>
          </w:tcPr>
          <w:p w14:paraId="580C1F87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64226930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48E" w14:paraId="4A1C5271" w14:textId="77777777">
        <w:tc>
          <w:tcPr>
            <w:tcW w:w="3027" w:type="dxa"/>
          </w:tcPr>
          <w:p w14:paraId="4CD4F410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Chromium</w:t>
            </w:r>
          </w:p>
        </w:tc>
        <w:tc>
          <w:tcPr>
            <w:tcW w:w="4326" w:type="dxa"/>
          </w:tcPr>
          <w:p w14:paraId="20A3E1DB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C/F</w:t>
            </w:r>
          </w:p>
        </w:tc>
      </w:tr>
      <w:tr w:rsidR="00B8648E" w14:paraId="08052A2F" w14:textId="77777777">
        <w:tc>
          <w:tcPr>
            <w:tcW w:w="3027" w:type="dxa"/>
          </w:tcPr>
          <w:p w14:paraId="3B93A89F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2AB8A0FF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IX</w:t>
            </w:r>
          </w:p>
        </w:tc>
      </w:tr>
      <w:tr w:rsidR="00B8648E" w14:paraId="23AA2CF4" w14:textId="77777777">
        <w:tc>
          <w:tcPr>
            <w:tcW w:w="3027" w:type="dxa"/>
          </w:tcPr>
          <w:p w14:paraId="493014DB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549CEFD9" w14:textId="51DC016D" w:rsidR="00B8648E" w:rsidRPr="004166CB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 xml:space="preserve">LIME </w:t>
            </w:r>
            <w:r w:rsidR="003D304D">
              <w:t>(</w:t>
            </w:r>
            <w:r>
              <w:t xml:space="preserve">for </w:t>
            </w:r>
            <w:proofErr w:type="spellStart"/>
            <w:r>
              <w:t>Cr</w:t>
            </w:r>
            <w:r>
              <w:rPr>
                <w:vertAlign w:val="superscript"/>
              </w:rPr>
              <w:t>III</w:t>
            </w:r>
            <w:proofErr w:type="spellEnd"/>
            <w:r>
              <w:t xml:space="preserve"> only</w:t>
            </w:r>
            <w:r w:rsidR="003D304D">
              <w:t>)</w:t>
            </w:r>
          </w:p>
        </w:tc>
      </w:tr>
      <w:tr w:rsidR="00B8648E" w14:paraId="304AD730" w14:textId="77777777">
        <w:tc>
          <w:tcPr>
            <w:tcW w:w="3027" w:type="dxa"/>
          </w:tcPr>
          <w:p w14:paraId="528B4D4E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452179CF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RO</w:t>
            </w:r>
          </w:p>
        </w:tc>
      </w:tr>
      <w:tr w:rsidR="00A13AE5" w14:paraId="040E5851" w14:textId="77777777">
        <w:tc>
          <w:tcPr>
            <w:tcW w:w="3027" w:type="dxa"/>
          </w:tcPr>
          <w:p w14:paraId="422E0FE0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7C23CA21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48E" w14:paraId="5E90377D" w14:textId="77777777">
        <w:tc>
          <w:tcPr>
            <w:tcW w:w="3027" w:type="dxa"/>
          </w:tcPr>
          <w:p w14:paraId="355EC683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Cyanide</w:t>
            </w:r>
          </w:p>
        </w:tc>
        <w:tc>
          <w:tcPr>
            <w:tcW w:w="4326" w:type="dxa"/>
          </w:tcPr>
          <w:p w14:paraId="0FF25414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IX</w:t>
            </w:r>
          </w:p>
        </w:tc>
      </w:tr>
      <w:tr w:rsidR="00B8648E" w14:paraId="0157DF58" w14:textId="77777777">
        <w:tc>
          <w:tcPr>
            <w:tcW w:w="3027" w:type="dxa"/>
          </w:tcPr>
          <w:p w14:paraId="5DADA767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69FBF0F5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RO</w:t>
            </w:r>
          </w:p>
        </w:tc>
      </w:tr>
      <w:tr w:rsidR="00B8648E" w14:paraId="3BE84DD9" w14:textId="77777777">
        <w:tc>
          <w:tcPr>
            <w:tcW w:w="3027" w:type="dxa"/>
          </w:tcPr>
          <w:p w14:paraId="231FDB82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1834C7F9" w14:textId="77777777" w:rsidR="00B8648E" w:rsidRPr="004166CB" w:rsidRDefault="008626C9" w:rsidP="00F1284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ALK</w:t>
            </w:r>
            <w:proofErr w:type="spellEnd"/>
            <w:r w:rsidR="00526A2C">
              <w:t xml:space="preserve"> </w:t>
            </w:r>
            <w:proofErr w:type="spellStart"/>
            <w:r w:rsidR="004166CB">
              <w:t>Cl</w:t>
            </w:r>
            <w:r w:rsidR="004166CB">
              <w:rPr>
                <w:vertAlign w:val="subscript"/>
              </w:rPr>
              <w:t>2</w:t>
            </w:r>
            <w:proofErr w:type="spellEnd"/>
          </w:p>
        </w:tc>
      </w:tr>
      <w:tr w:rsidR="00A13AE5" w14:paraId="528A8364" w14:textId="77777777">
        <w:tc>
          <w:tcPr>
            <w:tcW w:w="3027" w:type="dxa"/>
          </w:tcPr>
          <w:p w14:paraId="59FF4A5F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31D4FA13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48E" w14:paraId="3FD29FA9" w14:textId="77777777">
        <w:tc>
          <w:tcPr>
            <w:tcW w:w="3027" w:type="dxa"/>
          </w:tcPr>
          <w:p w14:paraId="26DF8106" w14:textId="77777777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>Mercury</w:t>
            </w:r>
          </w:p>
        </w:tc>
        <w:tc>
          <w:tcPr>
            <w:tcW w:w="4326" w:type="dxa"/>
          </w:tcPr>
          <w:p w14:paraId="67659A05" w14:textId="3B877239" w:rsidR="00B8648E" w:rsidRDefault="004166CB" w:rsidP="00F1284D">
            <w:pPr>
              <w:widowControl w:val="0"/>
              <w:autoSpaceDE w:val="0"/>
              <w:autoSpaceDN w:val="0"/>
              <w:adjustRightInd w:val="0"/>
            </w:pPr>
            <w:r>
              <w:t xml:space="preserve">C/F </w:t>
            </w:r>
            <w:r w:rsidR="003D304D">
              <w:t>(</w:t>
            </w:r>
            <w:r>
              <w:t>only if influent Hg concentra</w:t>
            </w:r>
            <w:r w:rsidR="002D39A7">
              <w:t>t</w:t>
            </w:r>
            <w:r>
              <w:t>ions less than or equal to</w:t>
            </w:r>
            <w:r w:rsidR="002D39A7">
              <w:t xml:space="preserve"> 10</w:t>
            </w:r>
            <w:r w:rsidR="00BD2B07">
              <w:t xml:space="preserve"> </w:t>
            </w:r>
            <w:proofErr w:type="spellStart"/>
            <w:r w:rsidR="002D39A7">
              <w:t>μg</w:t>
            </w:r>
            <w:proofErr w:type="spellEnd"/>
            <w:r w:rsidR="002D39A7">
              <w:t>/</w:t>
            </w:r>
            <w:r w:rsidR="00BC7503">
              <w:t>L</w:t>
            </w:r>
            <w:r w:rsidR="003D304D">
              <w:t>)</w:t>
            </w:r>
          </w:p>
        </w:tc>
      </w:tr>
      <w:tr w:rsidR="00B8648E" w14:paraId="7E74DC04" w14:textId="77777777">
        <w:tc>
          <w:tcPr>
            <w:tcW w:w="3027" w:type="dxa"/>
          </w:tcPr>
          <w:p w14:paraId="0E43FB2D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6107AC96" w14:textId="77777777" w:rsidR="00B8648E" w:rsidRDefault="002D39A7" w:rsidP="00F1284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GAC</w:t>
            </w:r>
            <w:proofErr w:type="spellEnd"/>
          </w:p>
        </w:tc>
      </w:tr>
      <w:tr w:rsidR="00B8648E" w14:paraId="45CD54A2" w14:textId="77777777">
        <w:tc>
          <w:tcPr>
            <w:tcW w:w="3027" w:type="dxa"/>
          </w:tcPr>
          <w:p w14:paraId="64298A60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28AE67B5" w14:textId="66AC8EA9" w:rsidR="00B8648E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 xml:space="preserve">LIME </w:t>
            </w:r>
            <w:r w:rsidR="003D304D">
              <w:t>(</w:t>
            </w:r>
            <w:r>
              <w:t xml:space="preserve">only if influent Hg concentrations </w:t>
            </w:r>
            <w:r w:rsidR="00BC69AB">
              <w:t xml:space="preserve">less than or equal to </w:t>
            </w:r>
            <w:r>
              <w:t>10</w:t>
            </w:r>
            <w:r w:rsidR="00BD2B07">
              <w:t xml:space="preserve"> </w:t>
            </w:r>
            <w:proofErr w:type="spellStart"/>
            <w:r w:rsidR="00BD2B07">
              <w:t>μg</w:t>
            </w:r>
            <w:proofErr w:type="spellEnd"/>
            <w:r w:rsidR="00BD2B07">
              <w:t>/</w:t>
            </w:r>
            <w:r w:rsidR="00BC7503">
              <w:t>L</w:t>
            </w:r>
            <w:r w:rsidR="003D304D">
              <w:t>)</w:t>
            </w:r>
          </w:p>
        </w:tc>
      </w:tr>
      <w:tr w:rsidR="00B8648E" w14:paraId="74903760" w14:textId="77777777">
        <w:tc>
          <w:tcPr>
            <w:tcW w:w="3027" w:type="dxa"/>
          </w:tcPr>
          <w:p w14:paraId="7134A86F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0C2EA583" w14:textId="1A3B00B5" w:rsidR="00B8648E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 xml:space="preserve">RO </w:t>
            </w:r>
            <w:r w:rsidR="003D304D">
              <w:t>(</w:t>
            </w:r>
            <w:r>
              <w:t xml:space="preserve">only if influent Hg concentrations </w:t>
            </w:r>
            <w:r w:rsidR="00BC69AB">
              <w:t xml:space="preserve">less than or equal to </w:t>
            </w:r>
            <w:r>
              <w:t>10</w:t>
            </w:r>
            <w:r w:rsidR="00BD2B07">
              <w:t xml:space="preserve"> </w:t>
            </w:r>
            <w:proofErr w:type="spellStart"/>
            <w:r>
              <w:t>μg</w:t>
            </w:r>
            <w:proofErr w:type="spellEnd"/>
            <w:r>
              <w:t>/</w:t>
            </w:r>
            <w:r w:rsidR="00BC7503">
              <w:t>L)</w:t>
            </w:r>
          </w:p>
        </w:tc>
      </w:tr>
      <w:tr w:rsidR="00A13AE5" w14:paraId="595739EE" w14:textId="77777777">
        <w:tc>
          <w:tcPr>
            <w:tcW w:w="3027" w:type="dxa"/>
          </w:tcPr>
          <w:p w14:paraId="5BA96532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0C9C0ACE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48E" w14:paraId="0B0B4060" w14:textId="77777777">
        <w:tc>
          <w:tcPr>
            <w:tcW w:w="3027" w:type="dxa"/>
          </w:tcPr>
          <w:p w14:paraId="0256490A" w14:textId="77777777" w:rsidR="00B8648E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Nickel</w:t>
            </w:r>
          </w:p>
        </w:tc>
        <w:tc>
          <w:tcPr>
            <w:tcW w:w="4326" w:type="dxa"/>
          </w:tcPr>
          <w:p w14:paraId="433CB57C" w14:textId="77777777" w:rsidR="00B8648E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IX</w:t>
            </w:r>
          </w:p>
        </w:tc>
      </w:tr>
      <w:tr w:rsidR="00B8648E" w14:paraId="7AED6C13" w14:textId="77777777">
        <w:tc>
          <w:tcPr>
            <w:tcW w:w="3027" w:type="dxa"/>
          </w:tcPr>
          <w:p w14:paraId="49B163B0" w14:textId="77777777" w:rsidR="00B8648E" w:rsidRDefault="00B8648E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354A3559" w14:textId="77777777" w:rsidR="00B8648E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LIME</w:t>
            </w:r>
          </w:p>
        </w:tc>
      </w:tr>
      <w:tr w:rsidR="002D39A7" w14:paraId="343F436A" w14:textId="77777777">
        <w:tc>
          <w:tcPr>
            <w:tcW w:w="3027" w:type="dxa"/>
          </w:tcPr>
          <w:p w14:paraId="0157FF74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27EFC402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RO</w:t>
            </w:r>
          </w:p>
        </w:tc>
      </w:tr>
      <w:tr w:rsidR="00A13AE5" w14:paraId="6FC9F807" w14:textId="77777777">
        <w:tc>
          <w:tcPr>
            <w:tcW w:w="3027" w:type="dxa"/>
          </w:tcPr>
          <w:p w14:paraId="7A0A11CF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6F5A21A7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D39A7" w14:paraId="622250AE" w14:textId="77777777">
        <w:tc>
          <w:tcPr>
            <w:tcW w:w="3027" w:type="dxa"/>
          </w:tcPr>
          <w:p w14:paraId="323D2831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Nitrate</w:t>
            </w:r>
          </w:p>
        </w:tc>
        <w:tc>
          <w:tcPr>
            <w:tcW w:w="4326" w:type="dxa"/>
          </w:tcPr>
          <w:p w14:paraId="6F3BBF2F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IX</w:t>
            </w:r>
          </w:p>
        </w:tc>
      </w:tr>
      <w:tr w:rsidR="002D39A7" w14:paraId="48C61AE5" w14:textId="77777777">
        <w:tc>
          <w:tcPr>
            <w:tcW w:w="3027" w:type="dxa"/>
          </w:tcPr>
          <w:p w14:paraId="597DFE8C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519B2ACF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RO</w:t>
            </w:r>
          </w:p>
        </w:tc>
      </w:tr>
      <w:tr w:rsidR="002D39A7" w14:paraId="30A8003F" w14:textId="77777777">
        <w:tc>
          <w:tcPr>
            <w:tcW w:w="3027" w:type="dxa"/>
          </w:tcPr>
          <w:p w14:paraId="730298E8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45B0F4B1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ED</w:t>
            </w:r>
          </w:p>
        </w:tc>
      </w:tr>
      <w:tr w:rsidR="00A13AE5" w14:paraId="7ADD25C2" w14:textId="77777777">
        <w:tc>
          <w:tcPr>
            <w:tcW w:w="3027" w:type="dxa"/>
          </w:tcPr>
          <w:p w14:paraId="381E317A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795CDED2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D39A7" w14:paraId="4618879A" w14:textId="77777777">
        <w:tc>
          <w:tcPr>
            <w:tcW w:w="3027" w:type="dxa"/>
          </w:tcPr>
          <w:p w14:paraId="10FE6CE7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Nitrite</w:t>
            </w:r>
          </w:p>
        </w:tc>
        <w:tc>
          <w:tcPr>
            <w:tcW w:w="4326" w:type="dxa"/>
          </w:tcPr>
          <w:p w14:paraId="0BA4A347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IX</w:t>
            </w:r>
          </w:p>
        </w:tc>
      </w:tr>
      <w:tr w:rsidR="002D39A7" w14:paraId="3D2508E7" w14:textId="77777777">
        <w:tc>
          <w:tcPr>
            <w:tcW w:w="3027" w:type="dxa"/>
          </w:tcPr>
          <w:p w14:paraId="3616EA40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282561C8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RO</w:t>
            </w:r>
          </w:p>
        </w:tc>
      </w:tr>
      <w:tr w:rsidR="00A13AE5" w14:paraId="13732F3D" w14:textId="77777777">
        <w:tc>
          <w:tcPr>
            <w:tcW w:w="3027" w:type="dxa"/>
          </w:tcPr>
          <w:p w14:paraId="50D35830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56EB1436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D39A7" w14:paraId="32E1AE0F" w14:textId="77777777">
        <w:tc>
          <w:tcPr>
            <w:tcW w:w="3027" w:type="dxa"/>
          </w:tcPr>
          <w:p w14:paraId="44E805E9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Selenium</w:t>
            </w:r>
          </w:p>
        </w:tc>
        <w:tc>
          <w:tcPr>
            <w:tcW w:w="4326" w:type="dxa"/>
          </w:tcPr>
          <w:p w14:paraId="143791D1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AAL</w:t>
            </w:r>
          </w:p>
        </w:tc>
      </w:tr>
      <w:tr w:rsidR="002D39A7" w14:paraId="479103DA" w14:textId="77777777">
        <w:tc>
          <w:tcPr>
            <w:tcW w:w="3027" w:type="dxa"/>
          </w:tcPr>
          <w:p w14:paraId="16DF3298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0BA4AD17" w14:textId="6496EB0E" w:rsidR="002D39A7" w:rsidRP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 xml:space="preserve">C/F </w:t>
            </w:r>
            <w:r w:rsidR="003D304D">
              <w:t>(</w:t>
            </w:r>
            <w:r>
              <w:t xml:space="preserve">for </w:t>
            </w:r>
            <w:proofErr w:type="spellStart"/>
            <w:r>
              <w:t>Se</w:t>
            </w:r>
            <w:r>
              <w:rPr>
                <w:vertAlign w:val="superscript"/>
              </w:rPr>
              <w:t>IV</w:t>
            </w:r>
            <w:proofErr w:type="spellEnd"/>
            <w:r>
              <w:t xml:space="preserve"> only</w:t>
            </w:r>
            <w:r w:rsidR="003D304D">
              <w:t>)</w:t>
            </w:r>
          </w:p>
        </w:tc>
      </w:tr>
      <w:tr w:rsidR="002D39A7" w14:paraId="65A09B58" w14:textId="77777777">
        <w:tc>
          <w:tcPr>
            <w:tcW w:w="3027" w:type="dxa"/>
          </w:tcPr>
          <w:p w14:paraId="214D9A63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392899CA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LIME</w:t>
            </w:r>
          </w:p>
        </w:tc>
      </w:tr>
      <w:tr w:rsidR="002D39A7" w14:paraId="4F204565" w14:textId="77777777">
        <w:tc>
          <w:tcPr>
            <w:tcW w:w="3027" w:type="dxa"/>
          </w:tcPr>
          <w:p w14:paraId="5D746B50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5645CEED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RO</w:t>
            </w:r>
          </w:p>
        </w:tc>
      </w:tr>
      <w:tr w:rsidR="002D39A7" w14:paraId="19A6BE89" w14:textId="77777777">
        <w:tc>
          <w:tcPr>
            <w:tcW w:w="3027" w:type="dxa"/>
          </w:tcPr>
          <w:p w14:paraId="241311BA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0A9BE4D7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ED</w:t>
            </w:r>
          </w:p>
        </w:tc>
      </w:tr>
      <w:tr w:rsidR="00A13AE5" w14:paraId="51BDFEAC" w14:textId="77777777">
        <w:tc>
          <w:tcPr>
            <w:tcW w:w="3027" w:type="dxa"/>
          </w:tcPr>
          <w:p w14:paraId="2CE84A9D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66832F64" w14:textId="77777777" w:rsidR="00A13AE5" w:rsidRDefault="00A13AE5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D39A7" w14:paraId="320B4BA3" w14:textId="77777777">
        <w:tc>
          <w:tcPr>
            <w:tcW w:w="3027" w:type="dxa"/>
          </w:tcPr>
          <w:p w14:paraId="00DFE32E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Thallium</w:t>
            </w:r>
          </w:p>
        </w:tc>
        <w:tc>
          <w:tcPr>
            <w:tcW w:w="4326" w:type="dxa"/>
          </w:tcPr>
          <w:p w14:paraId="281B1542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AAL</w:t>
            </w:r>
          </w:p>
        </w:tc>
      </w:tr>
      <w:tr w:rsidR="002D39A7" w14:paraId="77A4A81A" w14:textId="77777777">
        <w:tc>
          <w:tcPr>
            <w:tcW w:w="3027" w:type="dxa"/>
          </w:tcPr>
          <w:p w14:paraId="76617634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6" w:type="dxa"/>
          </w:tcPr>
          <w:p w14:paraId="1400A41D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IX</w:t>
            </w:r>
          </w:p>
        </w:tc>
      </w:tr>
    </w:tbl>
    <w:p w14:paraId="02D1D6CC" w14:textId="77777777" w:rsidR="00BD2B07" w:rsidRDefault="00BD2B07"/>
    <w:tbl>
      <w:tblPr>
        <w:tblW w:w="7353" w:type="dxa"/>
        <w:tblInd w:w="2274" w:type="dxa"/>
        <w:tblLook w:val="0000" w:firstRow="0" w:lastRow="0" w:firstColumn="0" w:lastColumn="0" w:noHBand="0" w:noVBand="0"/>
      </w:tblPr>
      <w:tblGrid>
        <w:gridCol w:w="1881"/>
        <w:gridCol w:w="5472"/>
      </w:tblGrid>
      <w:tr w:rsidR="002D39A7" w14:paraId="7C63ECC8" w14:textId="77777777">
        <w:tc>
          <w:tcPr>
            <w:tcW w:w="1881" w:type="dxa"/>
          </w:tcPr>
          <w:p w14:paraId="472A1292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Abbreviations</w:t>
            </w:r>
          </w:p>
        </w:tc>
        <w:tc>
          <w:tcPr>
            <w:tcW w:w="5472" w:type="dxa"/>
          </w:tcPr>
          <w:p w14:paraId="3417494D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13BD" w14:paraId="2442C248" w14:textId="77777777">
        <w:tc>
          <w:tcPr>
            <w:tcW w:w="1881" w:type="dxa"/>
          </w:tcPr>
          <w:p w14:paraId="207F9E62" w14:textId="77777777" w:rsidR="002513BD" w:rsidRDefault="002513BD" w:rsidP="00F12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72" w:type="dxa"/>
          </w:tcPr>
          <w:p w14:paraId="5AEBD477" w14:textId="77777777" w:rsidR="002513BD" w:rsidRDefault="002513BD" w:rsidP="00F128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D39A7" w14:paraId="34BA641D" w14:textId="77777777">
        <w:tc>
          <w:tcPr>
            <w:tcW w:w="1881" w:type="dxa"/>
          </w:tcPr>
          <w:p w14:paraId="302410F6" w14:textId="77777777" w:rsidR="002D39A7" w:rsidRDefault="002D39A7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AAL</w:t>
            </w:r>
          </w:p>
        </w:tc>
        <w:tc>
          <w:tcPr>
            <w:tcW w:w="5472" w:type="dxa"/>
          </w:tcPr>
          <w:p w14:paraId="72AB67CF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Activated alumina</w:t>
            </w:r>
          </w:p>
        </w:tc>
      </w:tr>
      <w:tr w:rsidR="00182EB7" w14:paraId="4FE9EE66" w14:textId="77777777">
        <w:tc>
          <w:tcPr>
            <w:tcW w:w="1881" w:type="dxa"/>
          </w:tcPr>
          <w:p w14:paraId="6D9F865F" w14:textId="77777777" w:rsidR="00182EB7" w:rsidRDefault="00182EB7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proofErr w:type="spellStart"/>
            <w:r>
              <w:t>ALK</w:t>
            </w:r>
            <w:proofErr w:type="spellEnd"/>
            <w:r>
              <w:t xml:space="preserve"> </w:t>
            </w:r>
            <w:proofErr w:type="spellStart"/>
            <w:r w:rsidR="005668D4">
              <w:t>Cl</w:t>
            </w:r>
            <w:r w:rsidRPr="00182EB7">
              <w:rPr>
                <w:vertAlign w:val="subscript"/>
              </w:rPr>
              <w:t>2</w:t>
            </w:r>
            <w:proofErr w:type="spellEnd"/>
          </w:p>
        </w:tc>
        <w:tc>
          <w:tcPr>
            <w:tcW w:w="5472" w:type="dxa"/>
          </w:tcPr>
          <w:p w14:paraId="1BF2E28D" w14:textId="77777777" w:rsidR="00182EB7" w:rsidRDefault="00182EB7" w:rsidP="00F1284D">
            <w:pPr>
              <w:widowControl w:val="0"/>
              <w:autoSpaceDE w:val="0"/>
              <w:autoSpaceDN w:val="0"/>
              <w:adjustRightInd w:val="0"/>
            </w:pPr>
            <w:r>
              <w:t>Alkaline chlorinati</w:t>
            </w:r>
            <w:r w:rsidR="003F7016">
              <w:t>o</w:t>
            </w:r>
            <w:r>
              <w:t>n (pH</w:t>
            </w:r>
            <w:r w:rsidR="00DE3CE1">
              <w:t xml:space="preserve"> </w:t>
            </w:r>
            <w:r>
              <w:t>≥</w:t>
            </w:r>
            <w:r w:rsidR="00526A2C">
              <w:t xml:space="preserve"> </w:t>
            </w:r>
            <w:r>
              <w:t>8.5)</w:t>
            </w:r>
          </w:p>
        </w:tc>
      </w:tr>
      <w:tr w:rsidR="002D39A7" w14:paraId="3C927C49" w14:textId="77777777">
        <w:tc>
          <w:tcPr>
            <w:tcW w:w="1881" w:type="dxa"/>
          </w:tcPr>
          <w:p w14:paraId="5C6B9B37" w14:textId="77777777" w:rsidR="002D39A7" w:rsidRDefault="002D39A7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C/F</w:t>
            </w:r>
          </w:p>
        </w:tc>
        <w:tc>
          <w:tcPr>
            <w:tcW w:w="5472" w:type="dxa"/>
          </w:tcPr>
          <w:p w14:paraId="272E76DB" w14:textId="0CC466FC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 xml:space="preserve">Coagulation/filtration (not BAT for a system </w:t>
            </w:r>
            <w:r w:rsidR="003D304D">
              <w:t>having</w:t>
            </w:r>
            <w:r>
              <w:t xml:space="preserve"> fewer than 500 service connections)</w:t>
            </w:r>
          </w:p>
        </w:tc>
      </w:tr>
      <w:tr w:rsidR="00182EB7" w14:paraId="4648C71C" w14:textId="77777777">
        <w:tc>
          <w:tcPr>
            <w:tcW w:w="1881" w:type="dxa"/>
          </w:tcPr>
          <w:p w14:paraId="5AB6D65B" w14:textId="77777777" w:rsidR="00182EB7" w:rsidRDefault="00182EB7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CC</w:t>
            </w:r>
          </w:p>
        </w:tc>
        <w:tc>
          <w:tcPr>
            <w:tcW w:w="5472" w:type="dxa"/>
          </w:tcPr>
          <w:p w14:paraId="334A5918" w14:textId="77777777" w:rsidR="00182EB7" w:rsidRDefault="00182EB7" w:rsidP="00F1284D">
            <w:pPr>
              <w:widowControl w:val="0"/>
              <w:autoSpaceDE w:val="0"/>
              <w:autoSpaceDN w:val="0"/>
              <w:adjustRightInd w:val="0"/>
            </w:pPr>
            <w:r>
              <w:t>Corrosion control</w:t>
            </w:r>
          </w:p>
        </w:tc>
      </w:tr>
      <w:tr w:rsidR="00182EB7" w14:paraId="2C93F841" w14:textId="77777777">
        <w:tc>
          <w:tcPr>
            <w:tcW w:w="1881" w:type="dxa"/>
          </w:tcPr>
          <w:p w14:paraId="710B4B65" w14:textId="77777777" w:rsidR="00182EB7" w:rsidRDefault="00182EB7" w:rsidP="005668D4">
            <w:pPr>
              <w:widowControl w:val="0"/>
              <w:autoSpaceDE w:val="0"/>
              <w:autoSpaceDN w:val="0"/>
              <w:adjustRightInd w:val="0"/>
              <w:ind w:left="348"/>
            </w:pPr>
            <w:proofErr w:type="spellStart"/>
            <w:r>
              <w:t>C</w:t>
            </w:r>
            <w:r w:rsidR="005668D4">
              <w:t>l</w:t>
            </w:r>
            <w:r w:rsidRPr="00182EB7">
              <w:rPr>
                <w:vertAlign w:val="subscript"/>
              </w:rPr>
              <w:t>2</w:t>
            </w:r>
            <w:proofErr w:type="spellEnd"/>
          </w:p>
        </w:tc>
        <w:tc>
          <w:tcPr>
            <w:tcW w:w="5472" w:type="dxa"/>
          </w:tcPr>
          <w:p w14:paraId="595853CE" w14:textId="77777777" w:rsidR="00182EB7" w:rsidRDefault="00182EB7" w:rsidP="00F1284D">
            <w:pPr>
              <w:widowControl w:val="0"/>
              <w:autoSpaceDE w:val="0"/>
              <w:autoSpaceDN w:val="0"/>
              <w:adjustRightInd w:val="0"/>
            </w:pPr>
            <w:r>
              <w:t>Oxidation (chlorine)</w:t>
            </w:r>
          </w:p>
        </w:tc>
      </w:tr>
      <w:tr w:rsidR="002D39A7" w14:paraId="6D2D847C" w14:textId="77777777">
        <w:tc>
          <w:tcPr>
            <w:tcW w:w="1881" w:type="dxa"/>
          </w:tcPr>
          <w:p w14:paraId="43A7971A" w14:textId="77777777" w:rsidR="002D39A7" w:rsidRDefault="002D39A7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proofErr w:type="spellStart"/>
            <w:r>
              <w:t>DDF</w:t>
            </w:r>
            <w:proofErr w:type="spellEnd"/>
          </w:p>
        </w:tc>
        <w:tc>
          <w:tcPr>
            <w:tcW w:w="5472" w:type="dxa"/>
          </w:tcPr>
          <w:p w14:paraId="0F5C90D9" w14:textId="77777777" w:rsidR="002D39A7" w:rsidRDefault="002D39A7" w:rsidP="00F1284D">
            <w:pPr>
              <w:widowControl w:val="0"/>
              <w:autoSpaceDE w:val="0"/>
              <w:autoSpaceDN w:val="0"/>
              <w:adjustRightInd w:val="0"/>
            </w:pPr>
            <w:r>
              <w:t>Direct and diatomite filtration</w:t>
            </w:r>
          </w:p>
        </w:tc>
      </w:tr>
      <w:tr w:rsidR="00182EB7" w14:paraId="6F7A82AC" w14:textId="77777777">
        <w:tc>
          <w:tcPr>
            <w:tcW w:w="1881" w:type="dxa"/>
          </w:tcPr>
          <w:p w14:paraId="064076F8" w14:textId="77777777" w:rsidR="00182EB7" w:rsidRDefault="00182EB7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ED</w:t>
            </w:r>
          </w:p>
        </w:tc>
        <w:tc>
          <w:tcPr>
            <w:tcW w:w="5472" w:type="dxa"/>
          </w:tcPr>
          <w:p w14:paraId="7220CD8D" w14:textId="77777777" w:rsidR="00182EB7" w:rsidRDefault="00182EB7" w:rsidP="00F1284D">
            <w:pPr>
              <w:widowControl w:val="0"/>
              <w:autoSpaceDE w:val="0"/>
              <w:autoSpaceDN w:val="0"/>
              <w:adjustRightInd w:val="0"/>
            </w:pPr>
            <w:r>
              <w:t>Electrodialysis</w:t>
            </w:r>
          </w:p>
        </w:tc>
      </w:tr>
      <w:tr w:rsidR="002D39A7" w14:paraId="771ECB1A" w14:textId="77777777">
        <w:tc>
          <w:tcPr>
            <w:tcW w:w="1881" w:type="dxa"/>
          </w:tcPr>
          <w:p w14:paraId="49F3E26A" w14:textId="77777777" w:rsidR="002D39A7" w:rsidRDefault="003B7D6A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proofErr w:type="spellStart"/>
            <w:r>
              <w:t>GAC</w:t>
            </w:r>
            <w:proofErr w:type="spellEnd"/>
          </w:p>
        </w:tc>
        <w:tc>
          <w:tcPr>
            <w:tcW w:w="5472" w:type="dxa"/>
          </w:tcPr>
          <w:p w14:paraId="2C41E5EF" w14:textId="77777777" w:rsidR="002D39A7" w:rsidRDefault="003B7D6A" w:rsidP="00F1284D">
            <w:pPr>
              <w:widowControl w:val="0"/>
              <w:autoSpaceDE w:val="0"/>
              <w:autoSpaceDN w:val="0"/>
              <w:adjustRightInd w:val="0"/>
            </w:pPr>
            <w:r>
              <w:t>Granular activated carbon</w:t>
            </w:r>
          </w:p>
        </w:tc>
      </w:tr>
      <w:tr w:rsidR="003B7D6A" w14:paraId="71A3F90D" w14:textId="77777777">
        <w:tc>
          <w:tcPr>
            <w:tcW w:w="1881" w:type="dxa"/>
          </w:tcPr>
          <w:p w14:paraId="73629702" w14:textId="77777777" w:rsidR="003B7D6A" w:rsidRDefault="003B7D6A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IX</w:t>
            </w:r>
          </w:p>
        </w:tc>
        <w:tc>
          <w:tcPr>
            <w:tcW w:w="5472" w:type="dxa"/>
          </w:tcPr>
          <w:p w14:paraId="28481D97" w14:textId="77777777" w:rsidR="003B7D6A" w:rsidRDefault="003B7D6A" w:rsidP="00F1284D">
            <w:pPr>
              <w:widowControl w:val="0"/>
              <w:autoSpaceDE w:val="0"/>
              <w:autoSpaceDN w:val="0"/>
              <w:adjustRightInd w:val="0"/>
            </w:pPr>
            <w:r>
              <w:t>Ion exchange</w:t>
            </w:r>
          </w:p>
        </w:tc>
      </w:tr>
      <w:tr w:rsidR="003B7D6A" w14:paraId="40A5E149" w14:textId="77777777">
        <w:tc>
          <w:tcPr>
            <w:tcW w:w="1881" w:type="dxa"/>
          </w:tcPr>
          <w:p w14:paraId="3A9667B3" w14:textId="77777777" w:rsidR="003B7D6A" w:rsidRDefault="003B7D6A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LIME</w:t>
            </w:r>
          </w:p>
        </w:tc>
        <w:tc>
          <w:tcPr>
            <w:tcW w:w="5472" w:type="dxa"/>
          </w:tcPr>
          <w:p w14:paraId="37152129" w14:textId="77777777" w:rsidR="003B7D6A" w:rsidRDefault="003B7D6A" w:rsidP="00F1284D">
            <w:pPr>
              <w:widowControl w:val="0"/>
              <w:autoSpaceDE w:val="0"/>
              <w:autoSpaceDN w:val="0"/>
              <w:adjustRightInd w:val="0"/>
            </w:pPr>
            <w:r>
              <w:t>Lime softening</w:t>
            </w:r>
          </w:p>
        </w:tc>
      </w:tr>
      <w:tr w:rsidR="00182EB7" w14:paraId="05CF6EB3" w14:textId="77777777">
        <w:tc>
          <w:tcPr>
            <w:tcW w:w="1881" w:type="dxa"/>
          </w:tcPr>
          <w:p w14:paraId="36C07A9F" w14:textId="77777777" w:rsidR="00182EB7" w:rsidRDefault="00182EB7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O/F</w:t>
            </w:r>
          </w:p>
        </w:tc>
        <w:tc>
          <w:tcPr>
            <w:tcW w:w="5472" w:type="dxa"/>
          </w:tcPr>
          <w:p w14:paraId="112CFC15" w14:textId="77777777" w:rsidR="00182EB7" w:rsidRDefault="00182EB7" w:rsidP="00F1284D">
            <w:pPr>
              <w:widowControl w:val="0"/>
              <w:autoSpaceDE w:val="0"/>
              <w:autoSpaceDN w:val="0"/>
              <w:adjustRightInd w:val="0"/>
            </w:pPr>
            <w:r>
              <w:t>Oxidation/filtration</w:t>
            </w:r>
          </w:p>
        </w:tc>
      </w:tr>
      <w:tr w:rsidR="003B7D6A" w14:paraId="39A06716" w14:textId="77777777">
        <w:tc>
          <w:tcPr>
            <w:tcW w:w="1881" w:type="dxa"/>
          </w:tcPr>
          <w:p w14:paraId="01D67DEE" w14:textId="77777777" w:rsidR="003B7D6A" w:rsidRDefault="003B7D6A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RO</w:t>
            </w:r>
          </w:p>
        </w:tc>
        <w:tc>
          <w:tcPr>
            <w:tcW w:w="5472" w:type="dxa"/>
          </w:tcPr>
          <w:p w14:paraId="1CA9D015" w14:textId="77777777" w:rsidR="003B7D6A" w:rsidRDefault="003B7D6A" w:rsidP="00F1284D">
            <w:pPr>
              <w:widowControl w:val="0"/>
              <w:autoSpaceDE w:val="0"/>
              <w:autoSpaceDN w:val="0"/>
              <w:adjustRightInd w:val="0"/>
            </w:pPr>
            <w:r>
              <w:t>Reverse osmosis</w:t>
            </w:r>
          </w:p>
        </w:tc>
      </w:tr>
      <w:tr w:rsidR="003B7D6A" w14:paraId="1311E817" w14:textId="77777777">
        <w:tc>
          <w:tcPr>
            <w:tcW w:w="1881" w:type="dxa"/>
          </w:tcPr>
          <w:p w14:paraId="599F7CF9" w14:textId="77777777" w:rsidR="003B7D6A" w:rsidRDefault="003B7D6A" w:rsidP="00A97B74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UV</w:t>
            </w:r>
          </w:p>
        </w:tc>
        <w:tc>
          <w:tcPr>
            <w:tcW w:w="5472" w:type="dxa"/>
          </w:tcPr>
          <w:p w14:paraId="568A4F52" w14:textId="77777777" w:rsidR="003B7D6A" w:rsidRDefault="003B7D6A" w:rsidP="00F1284D">
            <w:pPr>
              <w:widowControl w:val="0"/>
              <w:autoSpaceDE w:val="0"/>
              <w:autoSpaceDN w:val="0"/>
              <w:adjustRightInd w:val="0"/>
            </w:pPr>
            <w:r>
              <w:t>Ultraviolet irradiation</w:t>
            </w:r>
          </w:p>
        </w:tc>
      </w:tr>
    </w:tbl>
    <w:p w14:paraId="31017207" w14:textId="77777777" w:rsidR="00F1284D" w:rsidRDefault="00F1284D" w:rsidP="00A12A66">
      <w:pPr>
        <w:widowControl w:val="0"/>
        <w:autoSpaceDE w:val="0"/>
        <w:autoSpaceDN w:val="0"/>
        <w:adjustRightInd w:val="0"/>
      </w:pPr>
    </w:p>
    <w:p w14:paraId="1F804ED0" w14:textId="4F075AC3" w:rsidR="00F1284D" w:rsidRDefault="00F1284D" w:rsidP="00F1284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At 40 CFR 141.62(d), USEPA identified the affordable technology, treatment technique, or other means available to systems serving 10,000 persons or fewer for achieving compliance with the </w:t>
      </w:r>
      <w:r w:rsidR="003D304D">
        <w:t>MCL</w:t>
      </w:r>
      <w:r>
        <w:t xml:space="preserve"> for arsenic: </w:t>
      </w:r>
    </w:p>
    <w:p w14:paraId="185C33FE" w14:textId="77777777" w:rsidR="00F1284D" w:rsidRDefault="00F1284D" w:rsidP="00A12A66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4617"/>
        <w:gridCol w:w="3483"/>
      </w:tblGrid>
      <w:tr w:rsidR="003B7D6A" w14:paraId="45FEC942" w14:textId="77777777">
        <w:trPr>
          <w:trHeight w:val="459"/>
        </w:trPr>
        <w:tc>
          <w:tcPr>
            <w:tcW w:w="8100" w:type="dxa"/>
            <w:gridSpan w:val="2"/>
          </w:tcPr>
          <w:p w14:paraId="2443541E" w14:textId="77777777" w:rsidR="003B7D6A" w:rsidRDefault="003B7D6A" w:rsidP="003B7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Small System Compliance Technologies (</w:t>
            </w:r>
            <w:proofErr w:type="spellStart"/>
            <w:r>
              <w:t>SSCTs</w:t>
            </w:r>
            <w:proofErr w:type="spellEnd"/>
            <w:r>
              <w:t>)</w:t>
            </w:r>
            <w:r>
              <w:rPr>
                <w:vertAlign w:val="superscript"/>
              </w:rPr>
              <w:t xml:space="preserve">1 </w:t>
            </w:r>
            <w:r>
              <w:t xml:space="preserve">for </w:t>
            </w:r>
            <w:proofErr w:type="spellStart"/>
            <w:r>
              <w:t>Arsenic</w:t>
            </w:r>
            <w:r>
              <w:rPr>
                <w:vertAlign w:val="superscript"/>
              </w:rPr>
              <w:t>2</w:t>
            </w:r>
            <w:proofErr w:type="spellEnd"/>
          </w:p>
        </w:tc>
      </w:tr>
      <w:tr w:rsidR="003B7D6A" w14:paraId="42E0BE93" w14:textId="77777777">
        <w:tc>
          <w:tcPr>
            <w:tcW w:w="4617" w:type="dxa"/>
          </w:tcPr>
          <w:p w14:paraId="5A7BB1F5" w14:textId="77777777" w:rsidR="003B7D6A" w:rsidRDefault="003B7D6A" w:rsidP="00F1284D">
            <w:pPr>
              <w:widowControl w:val="0"/>
              <w:autoSpaceDE w:val="0"/>
              <w:autoSpaceDN w:val="0"/>
              <w:adjustRightInd w:val="0"/>
            </w:pPr>
            <w:r>
              <w:t>Small system compliance technology</w:t>
            </w:r>
          </w:p>
        </w:tc>
        <w:tc>
          <w:tcPr>
            <w:tcW w:w="3483" w:type="dxa"/>
          </w:tcPr>
          <w:p w14:paraId="5666DAB2" w14:textId="77777777" w:rsidR="003B7D6A" w:rsidRPr="003B7D6A" w:rsidRDefault="003B7D6A" w:rsidP="00F1284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Affordable for listed small system </w:t>
            </w:r>
            <w:proofErr w:type="spellStart"/>
            <w:r>
              <w:t>categories</w:t>
            </w:r>
            <w:r>
              <w:rPr>
                <w:vertAlign w:val="superscript"/>
              </w:rPr>
              <w:t>3</w:t>
            </w:r>
            <w:proofErr w:type="spellEnd"/>
          </w:p>
        </w:tc>
      </w:tr>
      <w:tr w:rsidR="003B7D6A" w14:paraId="5E2DFE8B" w14:textId="77777777">
        <w:tc>
          <w:tcPr>
            <w:tcW w:w="4617" w:type="dxa"/>
          </w:tcPr>
          <w:p w14:paraId="42FBD40F" w14:textId="77777777" w:rsidR="003B7D6A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t>Activated alumina (</w:t>
            </w:r>
            <w:r w:rsidR="00BD2B07">
              <w:t>c</w:t>
            </w:r>
            <w:r>
              <w:t>entralized)</w:t>
            </w:r>
          </w:p>
        </w:tc>
        <w:tc>
          <w:tcPr>
            <w:tcW w:w="3483" w:type="dxa"/>
          </w:tcPr>
          <w:p w14:paraId="5203284D" w14:textId="77777777" w:rsidR="003B7D6A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t>All size categories</w:t>
            </w:r>
          </w:p>
        </w:tc>
      </w:tr>
      <w:tr w:rsidR="003B7D6A" w14:paraId="6243A95A" w14:textId="77777777">
        <w:tc>
          <w:tcPr>
            <w:tcW w:w="4617" w:type="dxa"/>
          </w:tcPr>
          <w:p w14:paraId="258AFBE8" w14:textId="77777777" w:rsidR="003B7D6A" w:rsidRPr="00E97E68" w:rsidRDefault="00E97E68" w:rsidP="00F1284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Activated alumina (point-of-use)</w:t>
            </w:r>
            <w:r>
              <w:rPr>
                <w:vertAlign w:val="superscript"/>
              </w:rPr>
              <w:t>4</w:t>
            </w:r>
          </w:p>
        </w:tc>
        <w:tc>
          <w:tcPr>
            <w:tcW w:w="3483" w:type="dxa"/>
          </w:tcPr>
          <w:p w14:paraId="5FEEABDA" w14:textId="77777777" w:rsidR="003B7D6A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t>All size categories</w:t>
            </w:r>
          </w:p>
        </w:tc>
      </w:tr>
      <w:tr w:rsidR="003B7D6A" w14:paraId="44C8943F" w14:textId="77777777">
        <w:tc>
          <w:tcPr>
            <w:tcW w:w="4617" w:type="dxa"/>
          </w:tcPr>
          <w:p w14:paraId="58C4D5C2" w14:textId="77777777" w:rsidR="003B7D6A" w:rsidRPr="00E97E68" w:rsidRDefault="00E97E68" w:rsidP="00F1284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Coagulation/</w:t>
            </w:r>
            <w:proofErr w:type="spellStart"/>
            <w:r>
              <w:t>filtration</w:t>
            </w:r>
            <w:r>
              <w:rPr>
                <w:vertAlign w:val="superscript"/>
              </w:rPr>
              <w:t>5</w:t>
            </w:r>
            <w:proofErr w:type="spellEnd"/>
          </w:p>
        </w:tc>
        <w:tc>
          <w:tcPr>
            <w:tcW w:w="3483" w:type="dxa"/>
          </w:tcPr>
          <w:p w14:paraId="12495B2E" w14:textId="737783CA" w:rsidR="00BD2B07" w:rsidRDefault="000E00C9" w:rsidP="00F1284D">
            <w:pPr>
              <w:widowControl w:val="0"/>
              <w:autoSpaceDE w:val="0"/>
              <w:autoSpaceDN w:val="0"/>
              <w:adjustRightInd w:val="0"/>
            </w:pPr>
            <w:r w:rsidRPr="000E00C9">
              <w:t>501 to 3,300</w:t>
            </w:r>
            <w:r w:rsidR="00E97E68">
              <w:t xml:space="preserve"> persons, </w:t>
            </w:r>
          </w:p>
          <w:p w14:paraId="233BB62D" w14:textId="4B07D83D" w:rsidR="003B7D6A" w:rsidRDefault="000E00C9" w:rsidP="00F1284D">
            <w:pPr>
              <w:widowControl w:val="0"/>
              <w:autoSpaceDE w:val="0"/>
              <w:autoSpaceDN w:val="0"/>
              <w:adjustRightInd w:val="0"/>
            </w:pPr>
            <w:r w:rsidRPr="000E00C9">
              <w:t>3,301 to 10,000</w:t>
            </w:r>
            <w:r w:rsidR="00E97E68">
              <w:t xml:space="preserve"> persons</w:t>
            </w:r>
          </w:p>
        </w:tc>
      </w:tr>
      <w:tr w:rsidR="003B7D6A" w14:paraId="2CE141BB" w14:textId="77777777">
        <w:tc>
          <w:tcPr>
            <w:tcW w:w="4617" w:type="dxa"/>
          </w:tcPr>
          <w:p w14:paraId="5DEBFBB1" w14:textId="77777777" w:rsidR="003B7D6A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Coagulation-assisted microfiltration</w:t>
            </w:r>
          </w:p>
        </w:tc>
        <w:tc>
          <w:tcPr>
            <w:tcW w:w="3483" w:type="dxa"/>
          </w:tcPr>
          <w:p w14:paraId="4123A817" w14:textId="06FF7FBE" w:rsidR="00BD2B07" w:rsidRDefault="000E00C9" w:rsidP="00F1284D">
            <w:pPr>
              <w:widowControl w:val="0"/>
              <w:autoSpaceDE w:val="0"/>
              <w:autoSpaceDN w:val="0"/>
              <w:adjustRightInd w:val="0"/>
            </w:pPr>
            <w:r w:rsidRPr="00336C49">
              <w:t>501 to 3,300</w:t>
            </w:r>
            <w:r w:rsidR="00E97E68">
              <w:t xml:space="preserve"> persons, </w:t>
            </w:r>
          </w:p>
          <w:p w14:paraId="0FF45EB0" w14:textId="12D45EDD" w:rsidR="003B7D6A" w:rsidRDefault="00336C49" w:rsidP="00F1284D">
            <w:pPr>
              <w:widowControl w:val="0"/>
              <w:autoSpaceDE w:val="0"/>
              <w:autoSpaceDN w:val="0"/>
              <w:adjustRightInd w:val="0"/>
            </w:pPr>
            <w:r w:rsidRPr="00336C49">
              <w:t>3,301 to 10,000</w:t>
            </w:r>
            <w:r w:rsidR="00E97E68">
              <w:t xml:space="preserve"> persons</w:t>
            </w:r>
          </w:p>
        </w:tc>
      </w:tr>
      <w:tr w:rsidR="003B7D6A" w14:paraId="144B3633" w14:textId="77777777">
        <w:tc>
          <w:tcPr>
            <w:tcW w:w="4617" w:type="dxa"/>
          </w:tcPr>
          <w:p w14:paraId="58A37AD3" w14:textId="77777777" w:rsidR="003B7D6A" w:rsidRPr="00E97E68" w:rsidRDefault="00E97E68" w:rsidP="00F1284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Electrodialysis </w:t>
            </w:r>
            <w:proofErr w:type="spellStart"/>
            <w:r>
              <w:t>reversal</w:t>
            </w:r>
            <w:r>
              <w:rPr>
                <w:vertAlign w:val="superscript"/>
              </w:rPr>
              <w:t>6</w:t>
            </w:r>
            <w:proofErr w:type="spellEnd"/>
          </w:p>
        </w:tc>
        <w:tc>
          <w:tcPr>
            <w:tcW w:w="3483" w:type="dxa"/>
          </w:tcPr>
          <w:p w14:paraId="12ABCCF8" w14:textId="7847F8A8" w:rsidR="00BD2B07" w:rsidRPr="00336C49" w:rsidRDefault="00336C49" w:rsidP="00F1284D">
            <w:pPr>
              <w:widowControl w:val="0"/>
              <w:autoSpaceDE w:val="0"/>
              <w:autoSpaceDN w:val="0"/>
              <w:adjustRightInd w:val="0"/>
            </w:pPr>
            <w:r w:rsidRPr="00336C49">
              <w:t>501 to 3,300</w:t>
            </w:r>
            <w:r w:rsidR="00E97E68" w:rsidRPr="00336C49">
              <w:t xml:space="preserve"> persons, </w:t>
            </w:r>
          </w:p>
          <w:p w14:paraId="63E2F12D" w14:textId="7C1B43F5" w:rsidR="003B7D6A" w:rsidRDefault="00336C49" w:rsidP="00F1284D">
            <w:pPr>
              <w:widowControl w:val="0"/>
              <w:autoSpaceDE w:val="0"/>
              <w:autoSpaceDN w:val="0"/>
              <w:adjustRightInd w:val="0"/>
            </w:pPr>
            <w:r w:rsidRPr="00336C49">
              <w:t>3,301 to 10,000</w:t>
            </w:r>
            <w:r w:rsidR="00E97E68">
              <w:t xml:space="preserve"> persons</w:t>
            </w:r>
          </w:p>
        </w:tc>
      </w:tr>
      <w:tr w:rsidR="003B7D6A" w14:paraId="43ED9391" w14:textId="77777777">
        <w:tc>
          <w:tcPr>
            <w:tcW w:w="4617" w:type="dxa"/>
          </w:tcPr>
          <w:p w14:paraId="246AF6C1" w14:textId="77777777" w:rsidR="003B7D6A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t>Enhanced coagulation/filtration</w:t>
            </w:r>
          </w:p>
        </w:tc>
        <w:tc>
          <w:tcPr>
            <w:tcW w:w="3483" w:type="dxa"/>
          </w:tcPr>
          <w:p w14:paraId="368914BE" w14:textId="77777777" w:rsidR="003B7D6A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t>All size categories</w:t>
            </w:r>
          </w:p>
        </w:tc>
      </w:tr>
      <w:tr w:rsidR="003B7D6A" w14:paraId="6AB70CFE" w14:textId="77777777">
        <w:tc>
          <w:tcPr>
            <w:tcW w:w="4617" w:type="dxa"/>
          </w:tcPr>
          <w:p w14:paraId="0C42F3A7" w14:textId="77777777" w:rsidR="003B7D6A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t>Enhanced lime softening (pH</w:t>
            </w:r>
            <w:r w:rsidR="00BD2B07">
              <w:t xml:space="preserve"> </w:t>
            </w:r>
            <w:r>
              <w:t>&gt;10.5)</w:t>
            </w:r>
          </w:p>
        </w:tc>
        <w:tc>
          <w:tcPr>
            <w:tcW w:w="3483" w:type="dxa"/>
          </w:tcPr>
          <w:p w14:paraId="7F89F633" w14:textId="77777777" w:rsidR="003B7D6A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t>All size categories</w:t>
            </w:r>
          </w:p>
        </w:tc>
      </w:tr>
      <w:tr w:rsidR="003B7D6A" w14:paraId="2DDA4D08" w14:textId="77777777">
        <w:tc>
          <w:tcPr>
            <w:tcW w:w="4617" w:type="dxa"/>
          </w:tcPr>
          <w:p w14:paraId="0B7A5FE4" w14:textId="77777777" w:rsidR="003B7D6A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t>Ion exchange</w:t>
            </w:r>
          </w:p>
        </w:tc>
        <w:tc>
          <w:tcPr>
            <w:tcW w:w="3483" w:type="dxa"/>
          </w:tcPr>
          <w:p w14:paraId="70BD6BB7" w14:textId="77777777" w:rsidR="003B7D6A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t>All size categories</w:t>
            </w:r>
          </w:p>
        </w:tc>
      </w:tr>
      <w:tr w:rsidR="003B7D6A" w14:paraId="13FAF66B" w14:textId="77777777">
        <w:tc>
          <w:tcPr>
            <w:tcW w:w="4617" w:type="dxa"/>
          </w:tcPr>
          <w:p w14:paraId="2ACA07FF" w14:textId="77777777" w:rsidR="003B7D6A" w:rsidRPr="00E97E68" w:rsidRDefault="00E97E68" w:rsidP="00F1284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Lime </w:t>
            </w:r>
            <w:proofErr w:type="spellStart"/>
            <w:r>
              <w:t>softening</w:t>
            </w:r>
            <w:r>
              <w:rPr>
                <w:vertAlign w:val="superscript"/>
              </w:rPr>
              <w:t>5</w:t>
            </w:r>
            <w:proofErr w:type="spellEnd"/>
          </w:p>
        </w:tc>
        <w:tc>
          <w:tcPr>
            <w:tcW w:w="3483" w:type="dxa"/>
          </w:tcPr>
          <w:p w14:paraId="23A17E2E" w14:textId="3D0B02D1" w:rsidR="00BD2B07" w:rsidRPr="00336C49" w:rsidRDefault="00336C49" w:rsidP="00F1284D">
            <w:pPr>
              <w:widowControl w:val="0"/>
              <w:autoSpaceDE w:val="0"/>
              <w:autoSpaceDN w:val="0"/>
              <w:adjustRightInd w:val="0"/>
            </w:pPr>
            <w:r w:rsidRPr="00336C49">
              <w:t>501 to 3,300</w:t>
            </w:r>
            <w:r w:rsidR="00E97E68" w:rsidRPr="00336C49">
              <w:t xml:space="preserve"> persons, </w:t>
            </w:r>
          </w:p>
          <w:p w14:paraId="05727B90" w14:textId="6A77ECA8" w:rsidR="003B7D6A" w:rsidRDefault="00336C49" w:rsidP="00F1284D">
            <w:pPr>
              <w:widowControl w:val="0"/>
              <w:autoSpaceDE w:val="0"/>
              <w:autoSpaceDN w:val="0"/>
              <w:adjustRightInd w:val="0"/>
            </w:pPr>
            <w:r w:rsidRPr="00336C49">
              <w:t>3,301 to 10,000</w:t>
            </w:r>
            <w:r w:rsidR="00E97E68">
              <w:t xml:space="preserve"> persons</w:t>
            </w:r>
          </w:p>
        </w:tc>
      </w:tr>
      <w:tr w:rsidR="003B7D6A" w14:paraId="1AE24C89" w14:textId="77777777">
        <w:tc>
          <w:tcPr>
            <w:tcW w:w="4617" w:type="dxa"/>
          </w:tcPr>
          <w:p w14:paraId="1DCC15B4" w14:textId="77777777" w:rsidR="003B7D6A" w:rsidRPr="00E97E68" w:rsidRDefault="00E97E68" w:rsidP="00F1284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Oxidation/</w:t>
            </w:r>
            <w:proofErr w:type="spellStart"/>
            <w:r>
              <w:t>filtration</w:t>
            </w:r>
            <w:r>
              <w:rPr>
                <w:vertAlign w:val="superscript"/>
              </w:rPr>
              <w:t>7</w:t>
            </w:r>
            <w:proofErr w:type="spellEnd"/>
          </w:p>
        </w:tc>
        <w:tc>
          <w:tcPr>
            <w:tcW w:w="3483" w:type="dxa"/>
          </w:tcPr>
          <w:p w14:paraId="39696206" w14:textId="77777777" w:rsidR="003B7D6A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t>All size categories</w:t>
            </w:r>
          </w:p>
        </w:tc>
      </w:tr>
      <w:tr w:rsidR="003B7D6A" w14:paraId="3763413B" w14:textId="77777777">
        <w:tc>
          <w:tcPr>
            <w:tcW w:w="4617" w:type="dxa"/>
          </w:tcPr>
          <w:p w14:paraId="769EDAC4" w14:textId="77777777" w:rsidR="003B7D6A" w:rsidRPr="00E97E68" w:rsidRDefault="00E97E68" w:rsidP="00F1284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Reverse osmosis (centralized)</w:t>
            </w:r>
            <w:r>
              <w:rPr>
                <w:vertAlign w:val="superscript"/>
              </w:rPr>
              <w:t>6</w:t>
            </w:r>
          </w:p>
        </w:tc>
        <w:tc>
          <w:tcPr>
            <w:tcW w:w="3483" w:type="dxa"/>
          </w:tcPr>
          <w:p w14:paraId="473B777B" w14:textId="15BED5FB" w:rsidR="00BD2B07" w:rsidRPr="00E30E93" w:rsidRDefault="00E30E93" w:rsidP="00F1284D">
            <w:pPr>
              <w:widowControl w:val="0"/>
              <w:autoSpaceDE w:val="0"/>
              <w:autoSpaceDN w:val="0"/>
              <w:adjustRightInd w:val="0"/>
            </w:pPr>
            <w:r w:rsidRPr="00E30E93">
              <w:t>501 to 3,300</w:t>
            </w:r>
            <w:r w:rsidR="00E97E68" w:rsidRPr="00E30E93">
              <w:t xml:space="preserve"> persons, </w:t>
            </w:r>
          </w:p>
          <w:p w14:paraId="4F638146" w14:textId="55FEAB15" w:rsidR="003B7D6A" w:rsidRDefault="00E30E93" w:rsidP="00F1284D">
            <w:pPr>
              <w:widowControl w:val="0"/>
              <w:autoSpaceDE w:val="0"/>
              <w:autoSpaceDN w:val="0"/>
              <w:adjustRightInd w:val="0"/>
            </w:pPr>
            <w:r w:rsidRPr="00E30E93">
              <w:t>3,301 to 10,000</w:t>
            </w:r>
            <w:r w:rsidR="00E97E68">
              <w:t xml:space="preserve"> persons</w:t>
            </w:r>
          </w:p>
        </w:tc>
      </w:tr>
      <w:tr w:rsidR="00E97E68" w14:paraId="77645C2C" w14:textId="77777777">
        <w:tc>
          <w:tcPr>
            <w:tcW w:w="4617" w:type="dxa"/>
          </w:tcPr>
          <w:p w14:paraId="75CA565D" w14:textId="77777777" w:rsidR="00E97E68" w:rsidRPr="00E97E68" w:rsidRDefault="00E97E68" w:rsidP="00F1284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Reverse osmosis (point-of-use)</w:t>
            </w:r>
            <w:r>
              <w:rPr>
                <w:vertAlign w:val="superscript"/>
              </w:rPr>
              <w:t>4</w:t>
            </w:r>
          </w:p>
        </w:tc>
        <w:tc>
          <w:tcPr>
            <w:tcW w:w="3483" w:type="dxa"/>
          </w:tcPr>
          <w:p w14:paraId="6E601722" w14:textId="77777777" w:rsidR="00E97E68" w:rsidRDefault="00E97E68" w:rsidP="00F1284D">
            <w:pPr>
              <w:widowControl w:val="0"/>
              <w:autoSpaceDE w:val="0"/>
              <w:autoSpaceDN w:val="0"/>
              <w:adjustRightInd w:val="0"/>
            </w:pPr>
            <w:r>
              <w:t>All size categories</w:t>
            </w:r>
          </w:p>
        </w:tc>
      </w:tr>
    </w:tbl>
    <w:p w14:paraId="603108AE" w14:textId="77777777" w:rsidR="00F1284D" w:rsidRDefault="00F1284D" w:rsidP="00A12A66">
      <w:pPr>
        <w:widowControl w:val="0"/>
        <w:autoSpaceDE w:val="0"/>
        <w:autoSpaceDN w:val="0"/>
        <w:adjustRightInd w:val="0"/>
      </w:pPr>
    </w:p>
    <w:p w14:paraId="5426EF6C" w14:textId="554FA77C" w:rsidR="00F1284D" w:rsidRDefault="00E97E68" w:rsidP="00A97B74">
      <w:pPr>
        <w:widowControl w:val="0"/>
        <w:autoSpaceDE w:val="0"/>
        <w:autoSpaceDN w:val="0"/>
        <w:adjustRightInd w:val="0"/>
        <w:ind w:left="1824" w:hanging="399"/>
      </w:pPr>
      <w:r w:rsidRPr="00E97E68">
        <w:rPr>
          <w:vertAlign w:val="superscript"/>
        </w:rPr>
        <w:t>1</w:t>
      </w:r>
      <w:r w:rsidR="00F1284D">
        <w:tab/>
        <w:t>Section 1412(b)(4)(E)(</w:t>
      </w:r>
      <w:proofErr w:type="spellStart"/>
      <w:r w:rsidR="00A94AEF">
        <w:t>i</w:t>
      </w:r>
      <w:proofErr w:type="spellEnd"/>
      <w:r w:rsidR="00F1284D">
        <w:t xml:space="preserve">) </w:t>
      </w:r>
      <w:r w:rsidR="00A94AEF">
        <w:t xml:space="preserve">through (iii) </w:t>
      </w:r>
      <w:r w:rsidR="00F1284D">
        <w:t xml:space="preserve">of </w:t>
      </w:r>
      <w:proofErr w:type="spellStart"/>
      <w:r w:rsidR="00F1284D">
        <w:t>SDWA</w:t>
      </w:r>
      <w:proofErr w:type="spellEnd"/>
      <w:r w:rsidR="00F1284D">
        <w:t xml:space="preserve"> (42 </w:t>
      </w:r>
      <w:r w:rsidR="00A94AEF">
        <w:t>U.S.C.</w:t>
      </w:r>
      <w:r w:rsidR="00F1284D">
        <w:t xml:space="preserve"> </w:t>
      </w:r>
      <w:proofErr w:type="spellStart"/>
      <w:r w:rsidR="00F1284D">
        <w:t>300g</w:t>
      </w:r>
      <w:proofErr w:type="spellEnd"/>
      <w:r w:rsidR="00F1284D">
        <w:t>-1(b)(4)(E)(</w:t>
      </w:r>
      <w:proofErr w:type="spellStart"/>
      <w:r w:rsidR="005E5E21">
        <w:t>i</w:t>
      </w:r>
      <w:proofErr w:type="spellEnd"/>
      <w:r w:rsidR="00F1284D">
        <w:t>)</w:t>
      </w:r>
      <w:r w:rsidR="005E5E21">
        <w:t xml:space="preserve"> through (iii)</w:t>
      </w:r>
      <w:r w:rsidR="00F1284D">
        <w:t xml:space="preserve">) specifies that </w:t>
      </w:r>
      <w:proofErr w:type="spellStart"/>
      <w:r w:rsidR="00F1284D">
        <w:t>SSCTs</w:t>
      </w:r>
      <w:proofErr w:type="spellEnd"/>
      <w:r w:rsidR="00F1284D">
        <w:t xml:space="preserve"> must be affordable and technically feasible for a small system supplier. </w:t>
      </w:r>
    </w:p>
    <w:p w14:paraId="74BBF7DE" w14:textId="77777777" w:rsidR="00F1284D" w:rsidRDefault="00E97E68" w:rsidP="00A97B74">
      <w:pPr>
        <w:widowControl w:val="0"/>
        <w:autoSpaceDE w:val="0"/>
        <w:autoSpaceDN w:val="0"/>
        <w:adjustRightInd w:val="0"/>
        <w:ind w:left="1824" w:hanging="399"/>
      </w:pPr>
      <w:r>
        <w:rPr>
          <w:vertAlign w:val="superscript"/>
        </w:rPr>
        <w:t>2</w:t>
      </w:r>
      <w:r w:rsidR="00F1284D">
        <w:tab/>
      </w:r>
      <w:proofErr w:type="spellStart"/>
      <w:r w:rsidR="00F1284D">
        <w:t>SSCTs</w:t>
      </w:r>
      <w:proofErr w:type="spellEnd"/>
      <w:r w:rsidR="00F1284D">
        <w:t xml:space="preserve"> for </w:t>
      </w:r>
      <w:proofErr w:type="spellStart"/>
      <w:r w:rsidR="00F1284D">
        <w:t>A</w:t>
      </w:r>
      <w:r w:rsidR="009B2941">
        <w:t>s</w:t>
      </w:r>
      <w:r w:rsidR="00F1284D" w:rsidRPr="00696853">
        <w:rPr>
          <w:vertAlign w:val="superscript"/>
        </w:rPr>
        <w:t>V</w:t>
      </w:r>
      <w:proofErr w:type="spellEnd"/>
      <w:r w:rsidR="00F1284D">
        <w:t xml:space="preserve">.  Pre-oxidation may be required to convert </w:t>
      </w:r>
      <w:proofErr w:type="spellStart"/>
      <w:r w:rsidR="00F1284D">
        <w:t>As</w:t>
      </w:r>
      <w:r w:rsidR="00F1284D" w:rsidRPr="00696853">
        <w:rPr>
          <w:vertAlign w:val="superscript"/>
        </w:rPr>
        <w:t>III</w:t>
      </w:r>
      <w:proofErr w:type="spellEnd"/>
      <w:r w:rsidR="00F1284D">
        <w:t xml:space="preserve"> to </w:t>
      </w:r>
      <w:proofErr w:type="spellStart"/>
      <w:r w:rsidR="00F1284D">
        <w:t>As</w:t>
      </w:r>
      <w:r w:rsidR="00F1284D" w:rsidRPr="00696853">
        <w:rPr>
          <w:vertAlign w:val="superscript"/>
        </w:rPr>
        <w:t>V</w:t>
      </w:r>
      <w:proofErr w:type="spellEnd"/>
      <w:r w:rsidR="00F1284D">
        <w:t xml:space="preserve">. </w:t>
      </w:r>
    </w:p>
    <w:p w14:paraId="6A210698" w14:textId="6BD919F5" w:rsidR="00F1284D" w:rsidRDefault="00E97E68" w:rsidP="00A97B74">
      <w:pPr>
        <w:widowControl w:val="0"/>
        <w:autoSpaceDE w:val="0"/>
        <w:autoSpaceDN w:val="0"/>
        <w:adjustRightInd w:val="0"/>
        <w:ind w:left="1824" w:hanging="399"/>
      </w:pPr>
      <w:r>
        <w:rPr>
          <w:vertAlign w:val="superscript"/>
        </w:rPr>
        <w:t>3</w:t>
      </w:r>
      <w:r w:rsidR="00F1284D">
        <w:tab/>
      </w:r>
      <w:proofErr w:type="spellStart"/>
      <w:r w:rsidR="00F1284D">
        <w:t>SDWA</w:t>
      </w:r>
      <w:proofErr w:type="spellEnd"/>
      <w:r w:rsidR="00F1284D">
        <w:t xml:space="preserve"> specifies three categories of small system suppliers: (1) those serving 25 or more, but fewer than 501</w:t>
      </w:r>
      <w:r w:rsidR="009B2941">
        <w:t xml:space="preserve"> persons</w:t>
      </w:r>
      <w:r w:rsidR="00F1284D">
        <w:t>, (2) those serving more than 500 but fewer than 3,301</w:t>
      </w:r>
      <w:r w:rsidR="00A13AE5">
        <w:t xml:space="preserve"> persons</w:t>
      </w:r>
      <w:r w:rsidR="00F1284D">
        <w:t>, and (3) those serving more than 3,300 but fewer than 10,001</w:t>
      </w:r>
      <w:r w:rsidR="00A13AE5">
        <w:t xml:space="preserve"> persons</w:t>
      </w:r>
      <w:r w:rsidR="00F1284D">
        <w:t>.</w:t>
      </w:r>
      <w:r w:rsidR="00E30E93" w:rsidRPr="00E30E93">
        <w:t xml:space="preserve">  42 U.S.C. </w:t>
      </w:r>
      <w:proofErr w:type="spellStart"/>
      <w:r w:rsidR="00E30E93" w:rsidRPr="00E30E93">
        <w:t>300g</w:t>
      </w:r>
      <w:proofErr w:type="spellEnd"/>
      <w:r w:rsidR="00E30E93" w:rsidRPr="00E30E93">
        <w:t>-1(b)(4)(E)(ii).</w:t>
      </w:r>
    </w:p>
    <w:p w14:paraId="1006D44E" w14:textId="7909E111" w:rsidR="00F1284D" w:rsidRDefault="006927D2" w:rsidP="00A97B74">
      <w:pPr>
        <w:widowControl w:val="0"/>
        <w:autoSpaceDE w:val="0"/>
        <w:autoSpaceDN w:val="0"/>
        <w:adjustRightInd w:val="0"/>
        <w:ind w:left="1824" w:hanging="399"/>
      </w:pPr>
      <w:r>
        <w:rPr>
          <w:vertAlign w:val="superscript"/>
        </w:rPr>
        <w:t>4</w:t>
      </w:r>
      <w:r w:rsidR="00F1284D">
        <w:tab/>
        <w:t xml:space="preserve">When </w:t>
      </w:r>
      <w:r w:rsidR="00E30E93" w:rsidRPr="00E30E93">
        <w:t xml:space="preserve">a supplier uses </w:t>
      </w:r>
      <w:proofErr w:type="spellStart"/>
      <w:r w:rsidR="00F1284D">
        <w:t>POU</w:t>
      </w:r>
      <w:proofErr w:type="spellEnd"/>
      <w:r w:rsidR="00F1284D">
        <w:t xml:space="preserve"> or POE devices for compliance, </w:t>
      </w:r>
      <w:r w:rsidR="00E30E93" w:rsidRPr="00E30E93">
        <w:t xml:space="preserve">the supplier must provide </w:t>
      </w:r>
      <w:r w:rsidR="00F1284D">
        <w:t xml:space="preserve">programs to ensure proper long-term operation, maintenance, and monitoring to ensure adequate performance. </w:t>
      </w:r>
    </w:p>
    <w:p w14:paraId="710B7B11" w14:textId="1E6AFD43" w:rsidR="00F1284D" w:rsidRDefault="006927D2" w:rsidP="00A97B74">
      <w:pPr>
        <w:widowControl w:val="0"/>
        <w:autoSpaceDE w:val="0"/>
        <w:autoSpaceDN w:val="0"/>
        <w:adjustRightInd w:val="0"/>
        <w:ind w:left="1824" w:hanging="399"/>
      </w:pPr>
      <w:r w:rsidRPr="006927D2">
        <w:rPr>
          <w:vertAlign w:val="superscript"/>
        </w:rPr>
        <w:t>5</w:t>
      </w:r>
      <w:r w:rsidR="00F1284D">
        <w:tab/>
      </w:r>
      <w:r w:rsidR="00E30E93" w:rsidRPr="00E30E93">
        <w:t>A supplier will not likely install this technology</w:t>
      </w:r>
      <w:r w:rsidR="00F1284D">
        <w:t xml:space="preserve"> sole</w:t>
      </w:r>
      <w:r w:rsidR="000D4D76">
        <w:t>l</w:t>
      </w:r>
      <w:r w:rsidR="00F1284D">
        <w:t xml:space="preserve">y for arsenic removal.  </w:t>
      </w:r>
      <w:r w:rsidR="00E30E93" w:rsidRPr="00E30E93">
        <w:t>This technology may</w:t>
      </w:r>
      <w:r w:rsidR="00F1284D">
        <w:t xml:space="preserve"> require pH adjustment to optimal range </w:t>
      </w:r>
      <w:r w:rsidR="00E30E93">
        <w:t>to obtain</w:t>
      </w:r>
      <w:r w:rsidR="00F1284D">
        <w:t xml:space="preserve"> high removals. </w:t>
      </w:r>
    </w:p>
    <w:p w14:paraId="607D26FF" w14:textId="60EFA7B2" w:rsidR="00F1284D" w:rsidRDefault="006927D2" w:rsidP="00A97B74">
      <w:pPr>
        <w:widowControl w:val="0"/>
        <w:autoSpaceDE w:val="0"/>
        <w:autoSpaceDN w:val="0"/>
        <w:adjustRightInd w:val="0"/>
        <w:ind w:left="1824" w:hanging="399"/>
      </w:pPr>
      <w:r>
        <w:rPr>
          <w:vertAlign w:val="superscript"/>
        </w:rPr>
        <w:t>6</w:t>
      </w:r>
      <w:r w:rsidR="00F1284D">
        <w:tab/>
      </w:r>
      <w:r w:rsidR="00E30E93" w:rsidRPr="00E30E93">
        <w:t>This technology rejects</w:t>
      </w:r>
      <w:r w:rsidR="00F1284D">
        <w:t xml:space="preserve"> a large volume of </w:t>
      </w:r>
      <w:r w:rsidR="00E30E93" w:rsidRPr="00E30E93">
        <w:t>water and may</w:t>
      </w:r>
      <w:r w:rsidR="00F1284D">
        <w:t xml:space="preserve"> not be appropriate for areas where water quantity </w:t>
      </w:r>
      <w:r w:rsidR="00E30E93">
        <w:t>is</w:t>
      </w:r>
      <w:r w:rsidR="00F1284D">
        <w:t xml:space="preserve"> an issue. </w:t>
      </w:r>
    </w:p>
    <w:p w14:paraId="3C4DED2A" w14:textId="7E909BF9" w:rsidR="00F1284D" w:rsidRDefault="006927D2" w:rsidP="00A97B74">
      <w:pPr>
        <w:widowControl w:val="0"/>
        <w:autoSpaceDE w:val="0"/>
        <w:autoSpaceDN w:val="0"/>
        <w:adjustRightInd w:val="0"/>
        <w:ind w:left="1824" w:hanging="399"/>
      </w:pPr>
      <w:r>
        <w:rPr>
          <w:vertAlign w:val="superscript"/>
        </w:rPr>
        <w:t>7</w:t>
      </w:r>
      <w:r w:rsidR="00F1284D">
        <w:tab/>
        <w:t>To obtain high removals</w:t>
      </w:r>
      <w:r w:rsidR="00E30E93" w:rsidRPr="00E30E93">
        <w:t xml:space="preserve"> using this technology</w:t>
      </w:r>
      <w:r w:rsidR="00F1284D">
        <w:t xml:space="preserve">, </w:t>
      </w:r>
      <w:r w:rsidR="00E30E93">
        <w:t xml:space="preserve">the </w:t>
      </w:r>
      <w:r w:rsidR="00F1284D">
        <w:t xml:space="preserve">iron to arsenic ratio must be at least 20:1. </w:t>
      </w:r>
    </w:p>
    <w:p w14:paraId="149026A6" w14:textId="77777777" w:rsidR="00F1284D" w:rsidRDefault="00F1284D" w:rsidP="00F1284D">
      <w:pPr>
        <w:widowControl w:val="0"/>
        <w:autoSpaceDE w:val="0"/>
        <w:autoSpaceDN w:val="0"/>
        <w:adjustRightInd w:val="0"/>
      </w:pPr>
    </w:p>
    <w:p w14:paraId="79275F3B" w14:textId="537AE93C" w:rsidR="00F1284D" w:rsidRDefault="00F1284D" w:rsidP="00066A70">
      <w:pPr>
        <w:widowControl w:val="0"/>
        <w:autoSpaceDE w:val="0"/>
        <w:autoSpaceDN w:val="0"/>
        <w:adjustRightInd w:val="0"/>
        <w:ind w:firstLine="720"/>
      </w:pPr>
      <w:r>
        <w:t xml:space="preserve">BOARD NOTE:  </w:t>
      </w:r>
      <w:r w:rsidR="00A65FD5" w:rsidRPr="00A65FD5">
        <w:rPr>
          <w:spacing w:val="-3"/>
        </w:rPr>
        <w:t>This Section derives</w:t>
      </w:r>
      <w:r>
        <w:t xml:space="preserve"> from 40 CFR 141.62. </w:t>
      </w:r>
    </w:p>
    <w:p w14:paraId="767D4BB9" w14:textId="77777777" w:rsidR="00F1284D" w:rsidRDefault="00F1284D" w:rsidP="00F1284D">
      <w:pPr>
        <w:widowControl w:val="0"/>
        <w:autoSpaceDE w:val="0"/>
        <w:autoSpaceDN w:val="0"/>
        <w:adjustRightInd w:val="0"/>
        <w:ind w:left="720" w:hanging="720"/>
      </w:pPr>
    </w:p>
    <w:p w14:paraId="3FCEEA9F" w14:textId="7394FEE0" w:rsidR="002C236B" w:rsidRPr="00D55B37" w:rsidRDefault="00A65FD5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602B59">
        <w:t>16486</w:t>
      </w:r>
      <w:r w:rsidRPr="00FD1AD2">
        <w:t xml:space="preserve">, effective </w:t>
      </w:r>
      <w:r w:rsidR="00602B59">
        <w:t>November 2, 2023</w:t>
      </w:r>
      <w:r w:rsidRPr="00FD1AD2">
        <w:t>)</w:t>
      </w:r>
    </w:p>
    <w:sectPr w:rsidR="002C236B" w:rsidRPr="00D55B37" w:rsidSect="00F128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84D"/>
    <w:rsid w:val="00024473"/>
    <w:rsid w:val="00044B2E"/>
    <w:rsid w:val="00066A70"/>
    <w:rsid w:val="00074DC1"/>
    <w:rsid w:val="000C1622"/>
    <w:rsid w:val="000D4D76"/>
    <w:rsid w:val="000D5C1E"/>
    <w:rsid w:val="000E00C9"/>
    <w:rsid w:val="000F22F3"/>
    <w:rsid w:val="0015795A"/>
    <w:rsid w:val="00182EB7"/>
    <w:rsid w:val="001901A5"/>
    <w:rsid w:val="001A7689"/>
    <w:rsid w:val="001D1796"/>
    <w:rsid w:val="001D5D16"/>
    <w:rsid w:val="002513BD"/>
    <w:rsid w:val="002C236B"/>
    <w:rsid w:val="002D0873"/>
    <w:rsid w:val="002D39A7"/>
    <w:rsid w:val="00336C49"/>
    <w:rsid w:val="003B7D6A"/>
    <w:rsid w:val="003D304D"/>
    <w:rsid w:val="003F7016"/>
    <w:rsid w:val="004166CB"/>
    <w:rsid w:val="00492D3D"/>
    <w:rsid w:val="0050661D"/>
    <w:rsid w:val="00524E10"/>
    <w:rsid w:val="00526A2C"/>
    <w:rsid w:val="00541956"/>
    <w:rsid w:val="005668D4"/>
    <w:rsid w:val="005B1F42"/>
    <w:rsid w:val="005C3366"/>
    <w:rsid w:val="005E5E21"/>
    <w:rsid w:val="00602B59"/>
    <w:rsid w:val="0067621B"/>
    <w:rsid w:val="006927D2"/>
    <w:rsid w:val="00696853"/>
    <w:rsid w:val="006A7A2A"/>
    <w:rsid w:val="008037CB"/>
    <w:rsid w:val="00824ECD"/>
    <w:rsid w:val="008626C9"/>
    <w:rsid w:val="008725CD"/>
    <w:rsid w:val="0089248A"/>
    <w:rsid w:val="008976D5"/>
    <w:rsid w:val="009B2941"/>
    <w:rsid w:val="00A01348"/>
    <w:rsid w:val="00A12A66"/>
    <w:rsid w:val="00A13AE5"/>
    <w:rsid w:val="00A22688"/>
    <w:rsid w:val="00A65FD5"/>
    <w:rsid w:val="00A7392F"/>
    <w:rsid w:val="00A94AEF"/>
    <w:rsid w:val="00A97B74"/>
    <w:rsid w:val="00B3555D"/>
    <w:rsid w:val="00B8648E"/>
    <w:rsid w:val="00BC69AB"/>
    <w:rsid w:val="00BC7503"/>
    <w:rsid w:val="00BD2B07"/>
    <w:rsid w:val="00BF51B4"/>
    <w:rsid w:val="00C94D5C"/>
    <w:rsid w:val="00D45CFE"/>
    <w:rsid w:val="00D472E7"/>
    <w:rsid w:val="00DC0A82"/>
    <w:rsid w:val="00DE3CE1"/>
    <w:rsid w:val="00E30E93"/>
    <w:rsid w:val="00E97E68"/>
    <w:rsid w:val="00F122A0"/>
    <w:rsid w:val="00F1284D"/>
    <w:rsid w:val="00F25133"/>
    <w:rsid w:val="00F5178C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78E04D"/>
  <w15:docId w15:val="{171BAD84-B997-4688-99FB-87038D4F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D08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1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2023-11-17T13:57:00Z</dcterms:created>
  <dcterms:modified xsi:type="dcterms:W3CDTF">2023-11-17T16:55:00Z</dcterms:modified>
</cp:coreProperties>
</file>