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AD" w:rsidRDefault="000A54AD" w:rsidP="00727EF8">
      <w:pPr>
        <w:rPr>
          <w:b/>
        </w:rPr>
      </w:pPr>
    </w:p>
    <w:p w:rsidR="00727EF8" w:rsidRPr="00727EF8" w:rsidRDefault="00727EF8" w:rsidP="00727EF8">
      <w:pPr>
        <w:rPr>
          <w:b/>
        </w:rPr>
      </w:pPr>
      <w:r w:rsidRPr="00727EF8">
        <w:rPr>
          <w:b/>
        </w:rPr>
        <w:t xml:space="preserve">Section 604.1125  Chlorine Dioxide </w:t>
      </w:r>
    </w:p>
    <w:p w:rsidR="00727EF8" w:rsidRPr="00727EF8" w:rsidRDefault="00727EF8" w:rsidP="00727EF8">
      <w:pPr>
        <w:rPr>
          <w:b/>
        </w:rPr>
      </w:pPr>
    </w:p>
    <w:p w:rsidR="00727EF8" w:rsidRPr="00727EF8" w:rsidRDefault="00727EF8" w:rsidP="00727EF8">
      <w:pPr>
        <w:ind w:left="1440" w:hanging="720"/>
      </w:pPr>
      <w:r w:rsidRPr="00727EF8">
        <w:t>a)</w:t>
      </w:r>
      <w:r w:rsidRPr="00727EF8">
        <w:tab/>
        <w:t xml:space="preserve">Chlorine dioxide generation equipment must be factory assembled pre-engineered units with a minimum efficiency of 95 percent.  The excess free chlorine must not exceed </w:t>
      </w:r>
      <w:r w:rsidR="00252654">
        <w:t>three</w:t>
      </w:r>
      <w:r w:rsidRPr="00727EF8">
        <w:t xml:space="preserve"> percent of the theoretical stoichiometric concentration required. </w:t>
      </w:r>
    </w:p>
    <w:p w:rsidR="00727EF8" w:rsidRPr="00727EF8" w:rsidRDefault="00727EF8" w:rsidP="00727EF8"/>
    <w:p w:rsidR="00727EF8" w:rsidRPr="00727EF8" w:rsidRDefault="00727EF8" w:rsidP="00727EF8">
      <w:pPr>
        <w:ind w:left="1440" w:hanging="720"/>
      </w:pPr>
      <w:r w:rsidRPr="00727EF8">
        <w:t>b)</w:t>
      </w:r>
      <w:r w:rsidRPr="00727EF8">
        <w:tab/>
        <w:t>Chlorine gas and sodium chlorite feed and storage facilities must comply with Sections 604.1115 and 604.1130, respectively.  Sodium hypochlorite feed and storage facilities must comply with Section 604.1135.</w:t>
      </w:r>
    </w:p>
    <w:p w:rsidR="00727EF8" w:rsidRPr="00727EF8" w:rsidRDefault="00727EF8" w:rsidP="00475D09">
      <w:bookmarkStart w:id="0" w:name="_GoBack"/>
      <w:bookmarkEnd w:id="0"/>
    </w:p>
    <w:p w:rsidR="00727EF8" w:rsidRPr="00727EF8" w:rsidRDefault="00727EF8" w:rsidP="00727EF8">
      <w:pPr>
        <w:ind w:left="1440" w:hanging="720"/>
      </w:pPr>
      <w:r w:rsidRPr="00727EF8">
        <w:t>c)</w:t>
      </w:r>
      <w:r w:rsidRPr="00727EF8">
        <w:tab/>
        <w:t xml:space="preserve">The design must comply with all applicable portions of Sections 604.130(c), 604.705, 604.710, 604.715, 604.720 and 604.735.  </w:t>
      </w:r>
    </w:p>
    <w:sectPr w:rsidR="00727EF8" w:rsidRPr="00727E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EF8" w:rsidRDefault="00727EF8">
      <w:r>
        <w:separator/>
      </w:r>
    </w:p>
  </w:endnote>
  <w:endnote w:type="continuationSeparator" w:id="0">
    <w:p w:rsidR="00727EF8" w:rsidRDefault="0072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EF8" w:rsidRDefault="00727EF8">
      <w:r>
        <w:separator/>
      </w:r>
    </w:p>
  </w:footnote>
  <w:footnote w:type="continuationSeparator" w:id="0">
    <w:p w:rsidR="00727EF8" w:rsidRDefault="0072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54A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65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B8F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5D09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27EF8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159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2900A-59D7-47B6-A9D1-8401F72E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540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2018-07-31T17:02:00Z</dcterms:created>
  <dcterms:modified xsi:type="dcterms:W3CDTF">2019-08-06T17:15:00Z</dcterms:modified>
</cp:coreProperties>
</file>