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1F" w:rsidRPr="0015301F" w:rsidRDefault="0015301F" w:rsidP="0015301F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15301F" w:rsidRPr="0015301F" w:rsidRDefault="0015301F" w:rsidP="0015301F">
      <w:pPr>
        <w:autoSpaceDE w:val="0"/>
        <w:autoSpaceDN w:val="0"/>
        <w:adjustRightInd w:val="0"/>
        <w:rPr>
          <w:rFonts w:eastAsia="TimesNewRoman"/>
          <w:b/>
        </w:rPr>
      </w:pPr>
      <w:r w:rsidRPr="0015301F">
        <w:rPr>
          <w:b/>
        </w:rPr>
        <w:t xml:space="preserve">Section 211.4900  </w:t>
      </w:r>
      <w:r w:rsidRPr="0015301F">
        <w:rPr>
          <w:b/>
          <w:bCs/>
        </w:rPr>
        <w:t>Porous Material</w:t>
      </w:r>
    </w:p>
    <w:p w:rsidR="0015301F" w:rsidRPr="0015301F" w:rsidRDefault="0015301F" w:rsidP="0015301F">
      <w:pPr>
        <w:autoSpaceDE w:val="0"/>
        <w:autoSpaceDN w:val="0"/>
        <w:adjustRightInd w:val="0"/>
        <w:rPr>
          <w:rFonts w:eastAsia="TimesNewRoman"/>
          <w:b/>
        </w:rPr>
      </w:pPr>
    </w:p>
    <w:p w:rsidR="0015301F" w:rsidRPr="0015301F" w:rsidRDefault="0015301F" w:rsidP="0015301F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15301F">
        <w:rPr>
          <w:bCs/>
        </w:rPr>
        <w:t>Porous material</w:t>
      </w:r>
      <w:r>
        <w:rPr>
          <w:bCs/>
        </w:rPr>
        <w:t>"</w:t>
      </w:r>
      <w:r w:rsidRPr="0015301F">
        <w:rPr>
          <w:bCs/>
        </w:rPr>
        <w:t xml:space="preserve"> </w:t>
      </w:r>
      <w:r w:rsidRPr="0015301F">
        <w:rPr>
          <w:rFonts w:eastAsia="TimesNewRoman"/>
        </w:rPr>
        <w:t>means, for purposes of 35 Ill. Adm. Code 218 and 219, a substance that has tiny openings, often microscopic, in which fluids may be absorbed or discharged, including, but not limited to, paper and corrugated paperboard. P</w:t>
      </w:r>
      <w:r w:rsidRPr="0015301F">
        <w:rPr>
          <w:iCs/>
        </w:rPr>
        <w:t>orous material</w:t>
      </w:r>
      <w:r w:rsidRPr="0015301F">
        <w:rPr>
          <w:i/>
          <w:iCs/>
        </w:rPr>
        <w:t xml:space="preserve"> </w:t>
      </w:r>
      <w:r w:rsidRPr="0015301F">
        <w:rPr>
          <w:rFonts w:eastAsia="TimesNewRoman"/>
        </w:rPr>
        <w:t>does not include wood.</w:t>
      </w:r>
    </w:p>
    <w:p w:rsidR="0015301F" w:rsidRPr="0015301F" w:rsidRDefault="0015301F" w:rsidP="0015301F"/>
    <w:p w:rsidR="0015301F" w:rsidRPr="00D55B37" w:rsidRDefault="0015301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376E5">
        <w:t>1411</w:t>
      </w:r>
      <w:r w:rsidR="006F04EE">
        <w:t>9</w:t>
      </w:r>
      <w:r w:rsidRPr="00D55B37">
        <w:t xml:space="preserve">, effective </w:t>
      </w:r>
      <w:r w:rsidR="00E376E5">
        <w:t>September 14, 2010</w:t>
      </w:r>
      <w:r w:rsidRPr="00D55B37">
        <w:t>)</w:t>
      </w:r>
    </w:p>
    <w:sectPr w:rsidR="001530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54" w:rsidRDefault="00AB1E54">
      <w:r>
        <w:separator/>
      </w:r>
    </w:p>
  </w:endnote>
  <w:endnote w:type="continuationSeparator" w:id="0">
    <w:p w:rsidR="00AB1E54" w:rsidRDefault="00AB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54" w:rsidRDefault="00AB1E54">
      <w:r>
        <w:separator/>
      </w:r>
    </w:p>
  </w:footnote>
  <w:footnote w:type="continuationSeparator" w:id="0">
    <w:p w:rsidR="00AB1E54" w:rsidRDefault="00AB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2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01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4EE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58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DBF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E5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3E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21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5C4"/>
    <w:rsid w:val="00DC5FDC"/>
    <w:rsid w:val="00DD3C9D"/>
    <w:rsid w:val="00DD754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6E5"/>
    <w:rsid w:val="00E406C7"/>
    <w:rsid w:val="00E40FDC"/>
    <w:rsid w:val="00E41211"/>
    <w:rsid w:val="00E4457E"/>
    <w:rsid w:val="00E45282"/>
    <w:rsid w:val="00E47B6D"/>
    <w:rsid w:val="00E549A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C8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0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0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