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26" w:rsidRPr="005A6826" w:rsidRDefault="005A6826" w:rsidP="005A6826">
      <w:bookmarkStart w:id="0" w:name="_GoBack"/>
      <w:bookmarkEnd w:id="0"/>
    </w:p>
    <w:p w:rsidR="005A6826" w:rsidRPr="005A6826" w:rsidRDefault="005A6826" w:rsidP="005A6826">
      <w:pPr>
        <w:rPr>
          <w:b/>
        </w:rPr>
      </w:pPr>
      <w:r w:rsidRPr="005A6826">
        <w:rPr>
          <w:b/>
        </w:rPr>
        <w:t>Section 305.30  Initial Analysis and Assessment</w:t>
      </w:r>
    </w:p>
    <w:p w:rsidR="005A6826" w:rsidRPr="005A6826" w:rsidRDefault="005A6826" w:rsidP="005A6826"/>
    <w:p w:rsidR="005A6826" w:rsidRPr="005A6826" w:rsidRDefault="005A6826" w:rsidP="005A6826">
      <w:r w:rsidRPr="005A6826">
        <w:t xml:space="preserve">To begin the planning process and in conjunction with the annual review and updates, as provided in Subpart </w:t>
      </w:r>
      <w:r w:rsidR="003C42C2">
        <w:t>D</w:t>
      </w:r>
      <w:r w:rsidRPr="005A6826">
        <w:t xml:space="preserve">,  the higher education institution </w:t>
      </w:r>
      <w:r w:rsidR="00AC452F">
        <w:t>should</w:t>
      </w:r>
      <w:r w:rsidRPr="005A6826">
        <w:t xml:space="preserve"> perform all of the following tasks:</w:t>
      </w:r>
    </w:p>
    <w:p w:rsidR="005A6826" w:rsidRPr="005A6826" w:rsidRDefault="005A6826" w:rsidP="005A6826"/>
    <w:p w:rsidR="005A6826" w:rsidRPr="005A6826" w:rsidRDefault="005A6826" w:rsidP="005A6826">
      <w:pPr>
        <w:ind w:firstLine="720"/>
      </w:pPr>
      <w:r>
        <w:t>a)</w:t>
      </w:r>
      <w:r>
        <w:tab/>
      </w:r>
      <w:r w:rsidRPr="005A6826">
        <w:t>Conduct an all hazard analysis for the higher education institution</w:t>
      </w:r>
      <w:r w:rsidR="000A6C69">
        <w:t>.</w:t>
      </w:r>
    </w:p>
    <w:p w:rsidR="005A6826" w:rsidRPr="005A6826" w:rsidRDefault="005A6826" w:rsidP="005A6826"/>
    <w:p w:rsidR="005A6826" w:rsidRPr="005A6826" w:rsidRDefault="005A6826" w:rsidP="005A6826">
      <w:pPr>
        <w:ind w:left="2160" w:hanging="720"/>
      </w:pPr>
      <w:r>
        <w:t>1)</w:t>
      </w:r>
      <w:r>
        <w:tab/>
      </w:r>
      <w:r w:rsidRPr="005A6826">
        <w:t>Identify all hazards, including natural, man-made and technological</w:t>
      </w:r>
      <w:r w:rsidR="000A6C69">
        <w:t>.</w:t>
      </w:r>
      <w:r w:rsidRPr="005A6826">
        <w:t xml:space="preserve"> </w:t>
      </w:r>
      <w:r w:rsidR="000A6C69">
        <w:t>T</w:t>
      </w:r>
      <w:r w:rsidRPr="005A6826">
        <w:t xml:space="preserve">he following </w:t>
      </w:r>
      <w:r w:rsidR="00AC452F">
        <w:t>should</w:t>
      </w:r>
      <w:r w:rsidRPr="005A6826">
        <w:t xml:space="preserve"> be included:</w:t>
      </w:r>
    </w:p>
    <w:p w:rsidR="005A6826" w:rsidRPr="005A6826" w:rsidRDefault="005A6826" w:rsidP="005A6826"/>
    <w:p w:rsidR="005A6826" w:rsidRPr="005A6826" w:rsidRDefault="005A6826" w:rsidP="005A6826">
      <w:pPr>
        <w:ind w:left="2160"/>
      </w:pPr>
      <w:r>
        <w:t>A)</w:t>
      </w:r>
      <w:r>
        <w:tab/>
      </w:r>
      <w:r w:rsidRPr="005A6826">
        <w:t>Severe weather</w:t>
      </w:r>
    </w:p>
    <w:p w:rsidR="005A6826" w:rsidRDefault="005A6826" w:rsidP="005A6826">
      <w:pPr>
        <w:ind w:left="2160"/>
      </w:pPr>
    </w:p>
    <w:p w:rsidR="005A6826" w:rsidRPr="005A6826" w:rsidRDefault="005A6826" w:rsidP="005A6826">
      <w:pPr>
        <w:ind w:left="2160"/>
      </w:pPr>
      <w:r>
        <w:t>B)</w:t>
      </w:r>
      <w:r>
        <w:tab/>
      </w:r>
      <w:r w:rsidRPr="005A6826">
        <w:t>Fire</w:t>
      </w:r>
    </w:p>
    <w:p w:rsidR="005A6826" w:rsidRDefault="005A6826" w:rsidP="005A6826">
      <w:pPr>
        <w:ind w:left="2160"/>
      </w:pPr>
    </w:p>
    <w:p w:rsidR="005A6826" w:rsidRPr="005A6826" w:rsidRDefault="005A6826" w:rsidP="005A6826">
      <w:pPr>
        <w:ind w:left="2160"/>
      </w:pPr>
      <w:r>
        <w:t>C)</w:t>
      </w:r>
      <w:r>
        <w:tab/>
      </w:r>
      <w:r w:rsidRPr="005A6826">
        <w:t>Bomb threats or the discovery of suspicious items</w:t>
      </w:r>
    </w:p>
    <w:p w:rsidR="005A6826" w:rsidRDefault="005A6826" w:rsidP="005A6826">
      <w:pPr>
        <w:ind w:left="2160"/>
      </w:pPr>
    </w:p>
    <w:p w:rsidR="005A6826" w:rsidRPr="005A6826" w:rsidRDefault="005A6826" w:rsidP="005A6826">
      <w:pPr>
        <w:ind w:left="2160"/>
      </w:pPr>
      <w:r>
        <w:t>D)</w:t>
      </w:r>
      <w:r>
        <w:tab/>
      </w:r>
      <w:r w:rsidRPr="005A6826">
        <w:t>Structural failure or loss of utility service</w:t>
      </w:r>
    </w:p>
    <w:p w:rsidR="005A6826" w:rsidRDefault="005A6826" w:rsidP="005A6826">
      <w:pPr>
        <w:ind w:left="2160"/>
      </w:pPr>
    </w:p>
    <w:p w:rsidR="005A6826" w:rsidRPr="005A6826" w:rsidRDefault="005A6826" w:rsidP="005A6826">
      <w:pPr>
        <w:ind w:left="2160"/>
      </w:pPr>
      <w:r>
        <w:t>E)</w:t>
      </w:r>
      <w:r>
        <w:tab/>
      </w:r>
      <w:r w:rsidRPr="005A6826">
        <w:t>Mass casualty event</w:t>
      </w:r>
    </w:p>
    <w:p w:rsidR="005A6826" w:rsidRDefault="005A6826" w:rsidP="005A6826">
      <w:pPr>
        <w:ind w:left="2160"/>
      </w:pPr>
    </w:p>
    <w:p w:rsidR="005A6826" w:rsidRPr="005A6826" w:rsidRDefault="005A6826" w:rsidP="005A6826">
      <w:pPr>
        <w:ind w:left="2160"/>
      </w:pPr>
      <w:r>
        <w:t>F)</w:t>
      </w:r>
      <w:r>
        <w:tab/>
      </w:r>
      <w:r w:rsidRPr="005A6826">
        <w:t>Release of hazardous materials (indoor/outdoor)</w:t>
      </w:r>
    </w:p>
    <w:p w:rsidR="005A6826" w:rsidRDefault="005A6826" w:rsidP="005A6826">
      <w:pPr>
        <w:ind w:left="2160"/>
      </w:pPr>
    </w:p>
    <w:p w:rsidR="005A6826" w:rsidRPr="005A6826" w:rsidRDefault="005A6826" w:rsidP="005A6826">
      <w:pPr>
        <w:ind w:left="2160"/>
      </w:pPr>
      <w:r>
        <w:t>G)</w:t>
      </w:r>
      <w:r>
        <w:tab/>
      </w:r>
      <w:r w:rsidRPr="005A6826">
        <w:t>Use of weapons/hostage situations/active shooter</w:t>
      </w:r>
    </w:p>
    <w:p w:rsidR="005A6826" w:rsidRDefault="005A6826" w:rsidP="005A6826">
      <w:pPr>
        <w:ind w:left="2160"/>
      </w:pPr>
    </w:p>
    <w:p w:rsidR="005A6826" w:rsidRPr="005A6826" w:rsidRDefault="005A6826" w:rsidP="005A6826">
      <w:pPr>
        <w:ind w:left="2160"/>
      </w:pPr>
      <w:r>
        <w:t>H)</w:t>
      </w:r>
      <w:r>
        <w:tab/>
      </w:r>
      <w:r w:rsidRPr="005A6826">
        <w:t>Public health emergency</w:t>
      </w:r>
    </w:p>
    <w:p w:rsidR="005A6826" w:rsidRDefault="005A6826" w:rsidP="005A6826">
      <w:pPr>
        <w:ind w:left="2160"/>
      </w:pPr>
    </w:p>
    <w:p w:rsidR="005A6826" w:rsidRPr="005A6826" w:rsidRDefault="005A6826" w:rsidP="005A6826">
      <w:pPr>
        <w:ind w:left="2160"/>
      </w:pPr>
      <w:r>
        <w:t>I)</w:t>
      </w:r>
      <w:r>
        <w:tab/>
      </w:r>
      <w:r w:rsidRPr="005A6826">
        <w:t>Earthquakes</w:t>
      </w:r>
    </w:p>
    <w:p w:rsidR="005A6826" w:rsidRDefault="005A6826" w:rsidP="005A6826">
      <w:pPr>
        <w:ind w:left="2160"/>
      </w:pPr>
    </w:p>
    <w:p w:rsidR="005A6826" w:rsidRPr="005A6826" w:rsidRDefault="005A6826" w:rsidP="005A6826">
      <w:pPr>
        <w:ind w:left="2160"/>
      </w:pPr>
      <w:r>
        <w:t>J)</w:t>
      </w:r>
      <w:r>
        <w:tab/>
      </w:r>
      <w:r w:rsidRPr="005A6826">
        <w:t>Nuclear power plant accidents</w:t>
      </w:r>
      <w:r w:rsidR="000A6C69">
        <w:t>,</w:t>
      </w:r>
      <w:r w:rsidRPr="005A6826">
        <w:t xml:space="preserve"> where applicable</w:t>
      </w:r>
    </w:p>
    <w:p w:rsidR="005A6826" w:rsidRDefault="005A6826" w:rsidP="005A6826">
      <w:pPr>
        <w:ind w:left="2160"/>
      </w:pPr>
    </w:p>
    <w:p w:rsidR="005A6826" w:rsidRPr="005A6826" w:rsidRDefault="005A6826" w:rsidP="005A6826">
      <w:pPr>
        <w:ind w:left="2160"/>
      </w:pPr>
      <w:r>
        <w:t>K)</w:t>
      </w:r>
      <w:r>
        <w:tab/>
      </w:r>
      <w:proofErr w:type="spellStart"/>
      <w:r w:rsidRPr="005A6826">
        <w:t>Cyberthreat</w:t>
      </w:r>
      <w:proofErr w:type="spellEnd"/>
      <w:r w:rsidR="000A6C69">
        <w:t>;</w:t>
      </w:r>
    </w:p>
    <w:p w:rsidR="005A6826" w:rsidRPr="005A6826" w:rsidRDefault="005A6826" w:rsidP="005A6826"/>
    <w:p w:rsidR="005A6826" w:rsidRPr="005A6826" w:rsidRDefault="005A6826" w:rsidP="005A6826">
      <w:pPr>
        <w:ind w:left="2160" w:hanging="720"/>
      </w:pPr>
      <w:r>
        <w:t>2)</w:t>
      </w:r>
      <w:r>
        <w:tab/>
      </w:r>
      <w:r w:rsidRPr="005A6826">
        <w:t>Profile hazards, considering frequency, magnitude, intensity, location, spatial extent, duration, seasonal patter, speed of onset and availability of warning, using historical data, scientific methods or other sources; and</w:t>
      </w:r>
    </w:p>
    <w:p w:rsidR="005A6826" w:rsidRPr="005A6826" w:rsidRDefault="005A6826" w:rsidP="005A6826"/>
    <w:p w:rsidR="005A6826" w:rsidRPr="005A6826" w:rsidRDefault="005A6826" w:rsidP="005A6826">
      <w:pPr>
        <w:ind w:left="720" w:firstLine="720"/>
      </w:pPr>
      <w:r>
        <w:t>3)</w:t>
      </w:r>
      <w:r>
        <w:tab/>
      </w:r>
      <w:r w:rsidRPr="005A6826">
        <w:t>Compare and prioritize risks of the hazards identified.</w:t>
      </w:r>
    </w:p>
    <w:p w:rsidR="005A6826" w:rsidRPr="005A6826" w:rsidRDefault="005A6826" w:rsidP="005A6826"/>
    <w:p w:rsidR="005A6826" w:rsidRPr="005A6826" w:rsidRDefault="005A6826" w:rsidP="005A6826">
      <w:pPr>
        <w:ind w:firstLine="720"/>
      </w:pPr>
      <w:r>
        <w:t>b)</w:t>
      </w:r>
      <w:r>
        <w:tab/>
      </w:r>
      <w:r w:rsidRPr="005A6826">
        <w:t>Assess vulnerabilities within the higher education institution</w:t>
      </w:r>
      <w:r w:rsidR="000A6C69">
        <w:t>.</w:t>
      </w:r>
    </w:p>
    <w:p w:rsidR="005A6826" w:rsidRPr="005A6826" w:rsidRDefault="005A6826" w:rsidP="005A6826"/>
    <w:p w:rsidR="005A6826" w:rsidRPr="005A6826" w:rsidRDefault="005A6826" w:rsidP="005A6826">
      <w:pPr>
        <w:ind w:left="2160" w:hanging="720"/>
      </w:pPr>
      <w:r w:rsidRPr="005A6826">
        <w:t>1)</w:t>
      </w:r>
      <w:r w:rsidRPr="005A6826">
        <w:tab/>
        <w:t xml:space="preserve">Collect demographic data (such as daily population patterns, traffic patterns, seasonal population changes, special needs populations) to determine potential consequences of identified hazards on people and community functions. </w:t>
      </w:r>
    </w:p>
    <w:p w:rsidR="005A6826" w:rsidRPr="005A6826" w:rsidRDefault="005A6826" w:rsidP="005A6826"/>
    <w:p w:rsidR="005A6826" w:rsidRPr="005A6826" w:rsidRDefault="005A6826" w:rsidP="005A6826">
      <w:pPr>
        <w:ind w:left="2160" w:hanging="720"/>
      </w:pPr>
      <w:r w:rsidRPr="005A6826">
        <w:lastRenderedPageBreak/>
        <w:t>2)</w:t>
      </w:r>
      <w:r>
        <w:tab/>
      </w:r>
      <w:r w:rsidRPr="005A6826">
        <w:t>Collect structural inventory data (including data on critical faci</w:t>
      </w:r>
      <w:r w:rsidR="000A6C69">
        <w:t>lities, residential, commercial</w:t>
      </w:r>
      <w:r w:rsidRPr="005A6826">
        <w:t xml:space="preserve"> and industrial structures, lifelines, and transportation) to determine potential consequences of identified hazards on community functions, property and sites of potential secondary hazards. </w:t>
      </w:r>
    </w:p>
    <w:p w:rsidR="005A6826" w:rsidRPr="005A6826" w:rsidRDefault="005A6826" w:rsidP="005A6826"/>
    <w:p w:rsidR="005A6826" w:rsidRPr="005A6826" w:rsidRDefault="005A6826" w:rsidP="005A6826">
      <w:pPr>
        <w:ind w:left="1440" w:hanging="720"/>
      </w:pPr>
      <w:r>
        <w:t>c)</w:t>
      </w:r>
      <w:r>
        <w:tab/>
      </w:r>
      <w:r w:rsidRPr="005A6826">
        <w:t xml:space="preserve">Assess response capabilities of the higher education institution, identify shortfalls in response capabilities and develop strategies to alleviate shortfalls, such as memorandums of understanding, mutual aid agreements or </w:t>
      </w:r>
      <w:r w:rsidR="000A6C69">
        <w:t>G</w:t>
      </w:r>
      <w:r w:rsidRPr="005A6826">
        <w:t xml:space="preserve">ood Samaritan agreements. </w:t>
      </w:r>
    </w:p>
    <w:p w:rsidR="005A6826" w:rsidRPr="005A6826" w:rsidRDefault="005A6826" w:rsidP="005A6826"/>
    <w:p w:rsidR="005A6826" w:rsidRPr="005A6826" w:rsidRDefault="005A6826" w:rsidP="005A6826">
      <w:pPr>
        <w:ind w:left="1440" w:hanging="720"/>
      </w:pPr>
      <w:r w:rsidRPr="005A6826">
        <w:t>d)</w:t>
      </w:r>
      <w:r w:rsidRPr="005A6826">
        <w:tab/>
        <w:t xml:space="preserve">In analyzing and assessing the CEOP, higher education institutions may include, but not be limited to, the designated campus public safety officer, the campus emergency planning team, the campus emergency management director, local mental health community providers, local first responder agencies and ESDAs, county or major municipal emergency managers, or other persons deemed appropriate. </w:t>
      </w:r>
    </w:p>
    <w:sectPr w:rsidR="005A6826" w:rsidRPr="005A682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A22" w:rsidRDefault="00121A22">
      <w:r>
        <w:separator/>
      </w:r>
    </w:p>
  </w:endnote>
  <w:endnote w:type="continuationSeparator" w:id="0">
    <w:p w:rsidR="00121A22" w:rsidRDefault="0012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A22" w:rsidRDefault="00121A22">
      <w:r>
        <w:separator/>
      </w:r>
    </w:p>
  </w:footnote>
  <w:footnote w:type="continuationSeparator" w:id="0">
    <w:p w:rsidR="00121A22" w:rsidRDefault="00121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50CC4"/>
    <w:multiLevelType w:val="hybridMultilevel"/>
    <w:tmpl w:val="BD40BD1A"/>
    <w:lvl w:ilvl="0" w:tplc="386A9680">
      <w:start w:val="1"/>
      <w:numFmt w:val="lowerLetter"/>
      <w:lvlText w:val="%1)"/>
      <w:lvlJc w:val="left"/>
      <w:pPr>
        <w:tabs>
          <w:tab w:val="num" w:pos="1440"/>
        </w:tabs>
        <w:ind w:left="1440" w:hanging="720"/>
      </w:pPr>
      <w:rPr>
        <w:rFonts w:hint="default"/>
        <w:u w:val="none"/>
      </w:rPr>
    </w:lvl>
    <w:lvl w:ilvl="1" w:tplc="0C5A2F74">
      <w:start w:val="1"/>
      <w:numFmt w:val="decimal"/>
      <w:lvlText w:val="%2)"/>
      <w:lvlJc w:val="left"/>
      <w:pPr>
        <w:tabs>
          <w:tab w:val="num" w:pos="1800"/>
        </w:tabs>
        <w:ind w:left="1800" w:hanging="360"/>
      </w:pPr>
      <w:rPr>
        <w:rFonts w:hint="default"/>
        <w:u w:val="none"/>
      </w:rPr>
    </w:lvl>
    <w:lvl w:ilvl="2" w:tplc="1918F4DE">
      <w:start w:val="1"/>
      <w:numFmt w:val="upperLetter"/>
      <w:lvlText w:val="%3)"/>
      <w:lvlJc w:val="left"/>
      <w:pPr>
        <w:tabs>
          <w:tab w:val="num" w:pos="2700"/>
        </w:tabs>
        <w:ind w:left="2700" w:hanging="360"/>
      </w:pPr>
      <w:rPr>
        <w:rFonts w:hint="default"/>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6E1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6C69"/>
    <w:rsid w:val="000B2808"/>
    <w:rsid w:val="000B2839"/>
    <w:rsid w:val="000B4119"/>
    <w:rsid w:val="000C6D3D"/>
    <w:rsid w:val="000C7A6D"/>
    <w:rsid w:val="000D074F"/>
    <w:rsid w:val="000D167F"/>
    <w:rsid w:val="000D225F"/>
    <w:rsid w:val="000D269B"/>
    <w:rsid w:val="000D363A"/>
    <w:rsid w:val="000E04BB"/>
    <w:rsid w:val="000E08CB"/>
    <w:rsid w:val="000E6BBD"/>
    <w:rsid w:val="000E6FF6"/>
    <w:rsid w:val="000E7A0A"/>
    <w:rsid w:val="000F1E7C"/>
    <w:rsid w:val="000F25A1"/>
    <w:rsid w:val="000F6AB6"/>
    <w:rsid w:val="000F6C6D"/>
    <w:rsid w:val="00103C24"/>
    <w:rsid w:val="00110A0B"/>
    <w:rsid w:val="00114190"/>
    <w:rsid w:val="00121A22"/>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42C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826"/>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6758"/>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430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52F"/>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191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3FF1"/>
    <w:rsid w:val="00D46468"/>
    <w:rsid w:val="00D55B37"/>
    <w:rsid w:val="00D5634E"/>
    <w:rsid w:val="00D64B08"/>
    <w:rsid w:val="00D70D8F"/>
    <w:rsid w:val="00D76B84"/>
    <w:rsid w:val="00D77DCF"/>
    <w:rsid w:val="00D876AB"/>
    <w:rsid w:val="00D87E2A"/>
    <w:rsid w:val="00D90457"/>
    <w:rsid w:val="00D93C67"/>
    <w:rsid w:val="00D94587"/>
    <w:rsid w:val="00D96E11"/>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788"/>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82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82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2012-06-21T18:16:00Z</dcterms:created>
  <dcterms:modified xsi:type="dcterms:W3CDTF">2012-06-21T18:16:00Z</dcterms:modified>
</cp:coreProperties>
</file>