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C24" w:rsidRDefault="00697C24" w:rsidP="00697C24">
      <w:pPr>
        <w:widowControl w:val="0"/>
        <w:autoSpaceDE w:val="0"/>
        <w:autoSpaceDN w:val="0"/>
        <w:adjustRightInd w:val="0"/>
      </w:pPr>
    </w:p>
    <w:p w:rsidR="00697C24" w:rsidRDefault="00697C24" w:rsidP="00697C24">
      <w:pPr>
        <w:widowControl w:val="0"/>
        <w:autoSpaceDE w:val="0"/>
        <w:autoSpaceDN w:val="0"/>
        <w:adjustRightInd w:val="0"/>
      </w:pPr>
      <w:r>
        <w:rPr>
          <w:b/>
          <w:bCs/>
        </w:rPr>
        <w:t>Section 2760.30  Program Procedures</w:t>
      </w:r>
      <w:r>
        <w:t xml:space="preserve"> </w:t>
      </w:r>
    </w:p>
    <w:p w:rsidR="00697C24" w:rsidRDefault="00697C24" w:rsidP="00697C24">
      <w:pPr>
        <w:widowControl w:val="0"/>
        <w:autoSpaceDE w:val="0"/>
        <w:autoSpaceDN w:val="0"/>
        <w:adjustRightInd w:val="0"/>
      </w:pPr>
    </w:p>
    <w:p w:rsidR="00697C24" w:rsidRDefault="00697C24" w:rsidP="00697C24">
      <w:pPr>
        <w:widowControl w:val="0"/>
        <w:autoSpaceDE w:val="0"/>
        <w:autoSpaceDN w:val="0"/>
        <w:adjustRightInd w:val="0"/>
        <w:ind w:left="1440" w:hanging="720"/>
      </w:pPr>
      <w:r>
        <w:t>a)</w:t>
      </w:r>
      <w:r>
        <w:tab/>
        <w:t>In order for its students to be considered for the State Scholar Program, a high school is to submit, in a format approved by ISAC, class ranks as of the third semester prior to graduation for students who desire to be considered for the Program.  For high schools that cannot provide class ranks, non-weighted grade point averages as of the third semester prior to graduation must be provided.</w:t>
      </w:r>
    </w:p>
    <w:p w:rsidR="00697C24" w:rsidRDefault="00697C24" w:rsidP="00697C24"/>
    <w:p w:rsidR="00697C24" w:rsidRDefault="00697C24" w:rsidP="00697C24">
      <w:pPr>
        <w:widowControl w:val="0"/>
        <w:autoSpaceDE w:val="0"/>
        <w:autoSpaceDN w:val="0"/>
        <w:adjustRightInd w:val="0"/>
        <w:ind w:left="2160" w:hanging="720"/>
      </w:pPr>
      <w:r>
        <w:t>1)</w:t>
      </w:r>
      <w:r>
        <w:tab/>
        <w:t xml:space="preserve">Class ranks are calculated so that the class rank for the lowest grade point average (GPA) equals the total number of students being ranked.  </w:t>
      </w:r>
    </w:p>
    <w:p w:rsidR="00697C24" w:rsidRDefault="00697C24" w:rsidP="00697C24"/>
    <w:tbl>
      <w:tblPr>
        <w:tblW w:w="0" w:type="auto"/>
        <w:jc w:val="center"/>
        <w:tblLayout w:type="fixed"/>
        <w:tblLook w:val="0000" w:firstRow="0" w:lastRow="0" w:firstColumn="0" w:lastColumn="0" w:noHBand="0" w:noVBand="0"/>
      </w:tblPr>
      <w:tblGrid>
        <w:gridCol w:w="3264"/>
        <w:gridCol w:w="2052"/>
      </w:tblGrid>
      <w:tr w:rsidR="00697C24" w:rsidTr="004C0275">
        <w:trPr>
          <w:trHeight w:val="387"/>
          <w:jc w:val="center"/>
        </w:trPr>
        <w:tc>
          <w:tcPr>
            <w:tcW w:w="3264" w:type="dxa"/>
          </w:tcPr>
          <w:p w:rsidR="00697C24" w:rsidRDefault="00697C24" w:rsidP="004C0275">
            <w:pPr>
              <w:widowControl w:val="0"/>
              <w:autoSpaceDE w:val="0"/>
              <w:autoSpaceDN w:val="0"/>
              <w:adjustRightInd w:val="0"/>
              <w:jc w:val="center"/>
            </w:pPr>
            <w:r>
              <w:t>Example:  Class Rank</w:t>
            </w:r>
          </w:p>
        </w:tc>
        <w:tc>
          <w:tcPr>
            <w:tcW w:w="2052" w:type="dxa"/>
          </w:tcPr>
          <w:p w:rsidR="00697C24" w:rsidRDefault="00697C24" w:rsidP="004C0275">
            <w:pPr>
              <w:widowControl w:val="0"/>
              <w:autoSpaceDE w:val="0"/>
              <w:autoSpaceDN w:val="0"/>
              <w:adjustRightInd w:val="0"/>
              <w:jc w:val="center"/>
            </w:pPr>
            <w:r>
              <w:t>GPA</w:t>
            </w:r>
          </w:p>
        </w:tc>
      </w:tr>
      <w:tr w:rsidR="00697C24" w:rsidTr="004C0275">
        <w:trPr>
          <w:jc w:val="center"/>
        </w:trPr>
        <w:tc>
          <w:tcPr>
            <w:tcW w:w="3264" w:type="dxa"/>
          </w:tcPr>
          <w:p w:rsidR="00697C24" w:rsidRDefault="00697C24" w:rsidP="004C0275">
            <w:pPr>
              <w:widowControl w:val="0"/>
              <w:autoSpaceDE w:val="0"/>
              <w:autoSpaceDN w:val="0"/>
              <w:adjustRightInd w:val="0"/>
              <w:jc w:val="center"/>
            </w:pPr>
            <w:r>
              <w:t>1</w:t>
            </w:r>
          </w:p>
        </w:tc>
        <w:tc>
          <w:tcPr>
            <w:tcW w:w="2052" w:type="dxa"/>
          </w:tcPr>
          <w:p w:rsidR="00697C24" w:rsidRDefault="00697C24" w:rsidP="004C0275">
            <w:pPr>
              <w:widowControl w:val="0"/>
              <w:autoSpaceDE w:val="0"/>
              <w:autoSpaceDN w:val="0"/>
              <w:adjustRightInd w:val="0"/>
              <w:jc w:val="center"/>
            </w:pPr>
            <w:r>
              <w:t>99.3</w:t>
            </w:r>
          </w:p>
        </w:tc>
      </w:tr>
      <w:tr w:rsidR="00697C24" w:rsidTr="004C0275">
        <w:trPr>
          <w:jc w:val="center"/>
        </w:trPr>
        <w:tc>
          <w:tcPr>
            <w:tcW w:w="3264" w:type="dxa"/>
          </w:tcPr>
          <w:p w:rsidR="00697C24" w:rsidRDefault="00697C24" w:rsidP="004C0275">
            <w:pPr>
              <w:widowControl w:val="0"/>
              <w:autoSpaceDE w:val="0"/>
              <w:autoSpaceDN w:val="0"/>
              <w:adjustRightInd w:val="0"/>
              <w:jc w:val="center"/>
            </w:pPr>
            <w:r>
              <w:t>2</w:t>
            </w:r>
          </w:p>
        </w:tc>
        <w:tc>
          <w:tcPr>
            <w:tcW w:w="2052" w:type="dxa"/>
          </w:tcPr>
          <w:p w:rsidR="00697C24" w:rsidRDefault="00697C24" w:rsidP="004C0275">
            <w:pPr>
              <w:widowControl w:val="0"/>
              <w:autoSpaceDE w:val="0"/>
              <w:autoSpaceDN w:val="0"/>
              <w:adjustRightInd w:val="0"/>
              <w:jc w:val="center"/>
            </w:pPr>
            <w:r>
              <w:t>98.9</w:t>
            </w:r>
          </w:p>
        </w:tc>
      </w:tr>
      <w:tr w:rsidR="00697C24" w:rsidTr="004C0275">
        <w:trPr>
          <w:jc w:val="center"/>
        </w:trPr>
        <w:tc>
          <w:tcPr>
            <w:tcW w:w="3264" w:type="dxa"/>
          </w:tcPr>
          <w:p w:rsidR="00697C24" w:rsidRDefault="00697C24" w:rsidP="004C0275">
            <w:pPr>
              <w:widowControl w:val="0"/>
              <w:autoSpaceDE w:val="0"/>
              <w:autoSpaceDN w:val="0"/>
              <w:adjustRightInd w:val="0"/>
              <w:jc w:val="center"/>
            </w:pPr>
            <w:r>
              <w:t>2</w:t>
            </w:r>
          </w:p>
        </w:tc>
        <w:tc>
          <w:tcPr>
            <w:tcW w:w="2052" w:type="dxa"/>
          </w:tcPr>
          <w:p w:rsidR="00697C24" w:rsidRDefault="00697C24" w:rsidP="004C0275">
            <w:pPr>
              <w:widowControl w:val="0"/>
              <w:autoSpaceDE w:val="0"/>
              <w:autoSpaceDN w:val="0"/>
              <w:adjustRightInd w:val="0"/>
              <w:jc w:val="center"/>
            </w:pPr>
            <w:r>
              <w:t>98.9</w:t>
            </w:r>
          </w:p>
        </w:tc>
      </w:tr>
      <w:tr w:rsidR="00697C24" w:rsidTr="004C0275">
        <w:trPr>
          <w:jc w:val="center"/>
        </w:trPr>
        <w:tc>
          <w:tcPr>
            <w:tcW w:w="3264" w:type="dxa"/>
          </w:tcPr>
          <w:p w:rsidR="00697C24" w:rsidRDefault="00697C24" w:rsidP="004C0275">
            <w:pPr>
              <w:widowControl w:val="0"/>
              <w:autoSpaceDE w:val="0"/>
              <w:autoSpaceDN w:val="0"/>
              <w:adjustRightInd w:val="0"/>
              <w:jc w:val="center"/>
            </w:pPr>
            <w:r>
              <w:t>4</w:t>
            </w:r>
          </w:p>
        </w:tc>
        <w:tc>
          <w:tcPr>
            <w:tcW w:w="2052" w:type="dxa"/>
          </w:tcPr>
          <w:p w:rsidR="00697C24" w:rsidRDefault="00697C24" w:rsidP="004C0275">
            <w:pPr>
              <w:widowControl w:val="0"/>
              <w:autoSpaceDE w:val="0"/>
              <w:autoSpaceDN w:val="0"/>
              <w:adjustRightInd w:val="0"/>
              <w:jc w:val="center"/>
            </w:pPr>
            <w:r>
              <w:t>98.1</w:t>
            </w:r>
          </w:p>
        </w:tc>
      </w:tr>
      <w:tr w:rsidR="00697C24" w:rsidTr="004C0275">
        <w:trPr>
          <w:jc w:val="center"/>
        </w:trPr>
        <w:tc>
          <w:tcPr>
            <w:tcW w:w="3264" w:type="dxa"/>
          </w:tcPr>
          <w:p w:rsidR="00697C24" w:rsidRDefault="00697C24" w:rsidP="004C0275">
            <w:pPr>
              <w:widowControl w:val="0"/>
              <w:autoSpaceDE w:val="0"/>
              <w:autoSpaceDN w:val="0"/>
              <w:adjustRightInd w:val="0"/>
              <w:jc w:val="center"/>
            </w:pPr>
            <w:r>
              <w:t>5</w:t>
            </w:r>
          </w:p>
        </w:tc>
        <w:tc>
          <w:tcPr>
            <w:tcW w:w="2052" w:type="dxa"/>
          </w:tcPr>
          <w:p w:rsidR="00697C24" w:rsidRDefault="00697C24" w:rsidP="004C0275">
            <w:pPr>
              <w:widowControl w:val="0"/>
              <w:autoSpaceDE w:val="0"/>
              <w:autoSpaceDN w:val="0"/>
              <w:adjustRightInd w:val="0"/>
              <w:jc w:val="center"/>
            </w:pPr>
            <w:r>
              <w:t>97.9</w:t>
            </w:r>
          </w:p>
        </w:tc>
      </w:tr>
      <w:tr w:rsidR="00697C24" w:rsidTr="004C0275">
        <w:trPr>
          <w:jc w:val="center"/>
        </w:trPr>
        <w:tc>
          <w:tcPr>
            <w:tcW w:w="3264" w:type="dxa"/>
          </w:tcPr>
          <w:p w:rsidR="00697C24" w:rsidRDefault="00697C24" w:rsidP="004C0275">
            <w:pPr>
              <w:widowControl w:val="0"/>
              <w:autoSpaceDE w:val="0"/>
              <w:autoSpaceDN w:val="0"/>
              <w:adjustRightInd w:val="0"/>
              <w:jc w:val="center"/>
            </w:pPr>
            <w:r>
              <w:t>5</w:t>
            </w:r>
          </w:p>
        </w:tc>
        <w:tc>
          <w:tcPr>
            <w:tcW w:w="2052" w:type="dxa"/>
          </w:tcPr>
          <w:p w:rsidR="00697C24" w:rsidRDefault="00697C24" w:rsidP="004C0275">
            <w:pPr>
              <w:widowControl w:val="0"/>
              <w:autoSpaceDE w:val="0"/>
              <w:autoSpaceDN w:val="0"/>
              <w:adjustRightInd w:val="0"/>
              <w:jc w:val="center"/>
            </w:pPr>
            <w:r>
              <w:t>97.9</w:t>
            </w:r>
          </w:p>
        </w:tc>
      </w:tr>
      <w:tr w:rsidR="00697C24" w:rsidTr="004C0275">
        <w:trPr>
          <w:jc w:val="center"/>
        </w:trPr>
        <w:tc>
          <w:tcPr>
            <w:tcW w:w="3264" w:type="dxa"/>
          </w:tcPr>
          <w:p w:rsidR="00697C24" w:rsidRDefault="00697C24" w:rsidP="004C0275">
            <w:pPr>
              <w:widowControl w:val="0"/>
              <w:autoSpaceDE w:val="0"/>
              <w:autoSpaceDN w:val="0"/>
              <w:adjustRightInd w:val="0"/>
              <w:jc w:val="center"/>
            </w:pPr>
            <w:r>
              <w:t>7</w:t>
            </w:r>
          </w:p>
        </w:tc>
        <w:tc>
          <w:tcPr>
            <w:tcW w:w="2052" w:type="dxa"/>
          </w:tcPr>
          <w:p w:rsidR="00697C24" w:rsidRDefault="00697C24" w:rsidP="004C0275">
            <w:pPr>
              <w:widowControl w:val="0"/>
              <w:autoSpaceDE w:val="0"/>
              <w:autoSpaceDN w:val="0"/>
              <w:adjustRightInd w:val="0"/>
              <w:jc w:val="center"/>
            </w:pPr>
            <w:r>
              <w:t>97.4</w:t>
            </w:r>
          </w:p>
        </w:tc>
      </w:tr>
    </w:tbl>
    <w:p w:rsidR="00697C24" w:rsidRDefault="00697C24" w:rsidP="00697C24"/>
    <w:p w:rsidR="00697C24" w:rsidRDefault="00697C24" w:rsidP="00697C24">
      <w:pPr>
        <w:widowControl w:val="0"/>
        <w:autoSpaceDE w:val="0"/>
        <w:autoSpaceDN w:val="0"/>
        <w:adjustRightInd w:val="0"/>
        <w:ind w:left="2160" w:hanging="720"/>
      </w:pPr>
      <w:r>
        <w:t>2)</w:t>
      </w:r>
      <w:r>
        <w:tab/>
        <w:t xml:space="preserve">The equivalent term rank shall be provided for students planning to graduate in other than the traditional four years (see Section 2760.20(b)). </w:t>
      </w:r>
    </w:p>
    <w:p w:rsidR="00697C24" w:rsidRDefault="00697C24" w:rsidP="00697C24"/>
    <w:p w:rsidR="00697C24" w:rsidRDefault="00697C24" w:rsidP="00697C24">
      <w:pPr>
        <w:widowControl w:val="0"/>
        <w:autoSpaceDE w:val="0"/>
        <w:autoSpaceDN w:val="0"/>
        <w:adjustRightInd w:val="0"/>
        <w:ind w:left="1440" w:hanging="720"/>
      </w:pPr>
      <w:r>
        <w:t>b)</w:t>
      </w:r>
      <w:r>
        <w:tab/>
        <w:t xml:space="preserve">Test scores submitted in accordance with this Part shall be converted to an Illinois Standard Test Score as follows: </w:t>
      </w:r>
    </w:p>
    <w:p w:rsidR="00697C24" w:rsidRDefault="00697C24" w:rsidP="00697C24"/>
    <w:p w:rsidR="00697C24" w:rsidRDefault="00697C24" w:rsidP="00697C24">
      <w:pPr>
        <w:widowControl w:val="0"/>
        <w:autoSpaceDE w:val="0"/>
        <w:autoSpaceDN w:val="0"/>
        <w:adjustRightInd w:val="0"/>
        <w:ind w:left="2160" w:hanging="720"/>
      </w:pPr>
      <w:r>
        <w:t>1)</w:t>
      </w:r>
      <w:r>
        <w:tab/>
        <w:t xml:space="preserve">The ACT composite score shall be the Illinois Standard Test Score. </w:t>
      </w:r>
    </w:p>
    <w:p w:rsidR="00697C24" w:rsidRDefault="00697C24" w:rsidP="00697C24"/>
    <w:p w:rsidR="00697C24" w:rsidRDefault="00697C24" w:rsidP="00697C24">
      <w:pPr>
        <w:widowControl w:val="0"/>
        <w:autoSpaceDE w:val="0"/>
        <w:autoSpaceDN w:val="0"/>
        <w:adjustRightInd w:val="0"/>
        <w:ind w:left="2160" w:hanging="720"/>
      </w:pPr>
      <w:r>
        <w:t>2)</w:t>
      </w:r>
      <w:r>
        <w:tab/>
        <w:t xml:space="preserve">SAT critical reading and math scores shall be added, and then converted to the Illinois Standard Test Score using the official ACT-SAT Concordance (SAT Critical Reading + Math (Score Range)) table available at ACT's website. </w:t>
      </w:r>
    </w:p>
    <w:p w:rsidR="00697C24" w:rsidRDefault="00697C24" w:rsidP="00697C24"/>
    <w:p w:rsidR="00697C24" w:rsidRDefault="00697C24" w:rsidP="00697C24">
      <w:pPr>
        <w:widowControl w:val="0"/>
        <w:autoSpaceDE w:val="0"/>
        <w:autoSpaceDN w:val="0"/>
        <w:adjustRightInd w:val="0"/>
        <w:ind w:left="1440" w:hanging="720"/>
      </w:pPr>
      <w:r>
        <w:t>c)</w:t>
      </w:r>
      <w:r>
        <w:tab/>
        <w:t xml:space="preserve">High school class ranks submitted in accordance with this Part shall be converted to an Illinois Standard Rank Score as follows: </w:t>
      </w:r>
    </w:p>
    <w:p w:rsidR="00697C24" w:rsidRDefault="00697C24" w:rsidP="00697C24"/>
    <w:p w:rsidR="00697C24" w:rsidRDefault="00697C24" w:rsidP="00697C24">
      <w:pPr>
        <w:widowControl w:val="0"/>
        <w:autoSpaceDE w:val="0"/>
        <w:autoSpaceDN w:val="0"/>
        <w:adjustRightInd w:val="0"/>
        <w:ind w:left="2160" w:hanging="720"/>
      </w:pPr>
      <w:r>
        <w:t>1)</w:t>
      </w:r>
      <w:r>
        <w:tab/>
        <w:t xml:space="preserve">First, determine the percentile of the class rank for each student in accordance with the following formula: </w:t>
      </w:r>
    </w:p>
    <w:p w:rsidR="00697C24" w:rsidRDefault="00697C24" w:rsidP="00697C24"/>
    <w:p w:rsidR="00697C24" w:rsidRDefault="00697C24" w:rsidP="00697C24">
      <w:pPr>
        <w:widowControl w:val="0"/>
        <w:autoSpaceDE w:val="0"/>
        <w:autoSpaceDN w:val="0"/>
        <w:adjustRightInd w:val="0"/>
        <w:ind w:left="2160" w:hanging="720"/>
      </w:pPr>
      <w:r>
        <w:tab/>
        <w:t xml:space="preserve">Percentile = [Size of Class MINUS (Rank in Class minus .5)] divided by Size of Class </w:t>
      </w:r>
    </w:p>
    <w:p w:rsidR="00697C24" w:rsidRDefault="00697C24" w:rsidP="00697C24"/>
    <w:p w:rsidR="00697C24" w:rsidRDefault="00697C24" w:rsidP="00697C24">
      <w:pPr>
        <w:widowControl w:val="0"/>
        <w:autoSpaceDE w:val="0"/>
        <w:autoSpaceDN w:val="0"/>
        <w:adjustRightInd w:val="0"/>
        <w:ind w:left="2160" w:hanging="720"/>
      </w:pPr>
      <w:r>
        <w:t>2)</w:t>
      </w:r>
      <w:r>
        <w:tab/>
        <w:t xml:space="preserve">Then, use the table below to convert a percentile class rank to the Illinois Standard Rank Score. </w:t>
      </w:r>
    </w:p>
    <w:p w:rsidR="00697C24" w:rsidRDefault="00697C24" w:rsidP="00697C24"/>
    <w:tbl>
      <w:tblPr>
        <w:tblW w:w="0" w:type="auto"/>
        <w:tblInd w:w="2274" w:type="dxa"/>
        <w:tblLook w:val="0000" w:firstRow="0" w:lastRow="0" w:firstColumn="0" w:lastColumn="0" w:noHBand="0" w:noVBand="0"/>
      </w:tblPr>
      <w:tblGrid>
        <w:gridCol w:w="2577"/>
        <w:gridCol w:w="3636"/>
      </w:tblGrid>
      <w:tr w:rsidR="00697C24" w:rsidTr="004C0275">
        <w:trPr>
          <w:trHeight w:val="453"/>
        </w:trPr>
        <w:tc>
          <w:tcPr>
            <w:tcW w:w="2577" w:type="dxa"/>
          </w:tcPr>
          <w:p w:rsidR="00697C24" w:rsidRDefault="00697C24" w:rsidP="004C0275">
            <w:pPr>
              <w:widowControl w:val="0"/>
              <w:autoSpaceDE w:val="0"/>
              <w:autoSpaceDN w:val="0"/>
              <w:adjustRightInd w:val="0"/>
              <w:ind w:left="-108" w:right="-105"/>
              <w:jc w:val="center"/>
            </w:pPr>
            <w:r>
              <w:t>Percentile</w:t>
            </w:r>
          </w:p>
        </w:tc>
        <w:tc>
          <w:tcPr>
            <w:tcW w:w="3636" w:type="dxa"/>
          </w:tcPr>
          <w:p w:rsidR="00697C24" w:rsidRDefault="00697C24" w:rsidP="004C0275">
            <w:pPr>
              <w:widowControl w:val="0"/>
              <w:autoSpaceDE w:val="0"/>
              <w:autoSpaceDN w:val="0"/>
              <w:adjustRightInd w:val="0"/>
              <w:ind w:left="-111" w:right="-102"/>
              <w:jc w:val="center"/>
            </w:pPr>
            <w:r>
              <w:t>Illinois Standard Rank Score</w:t>
            </w:r>
          </w:p>
        </w:tc>
      </w:tr>
      <w:tr w:rsidR="00697C24" w:rsidTr="004C0275">
        <w:tc>
          <w:tcPr>
            <w:tcW w:w="2577" w:type="dxa"/>
          </w:tcPr>
          <w:p w:rsidR="00697C24" w:rsidRDefault="00697C24" w:rsidP="004C0275">
            <w:pPr>
              <w:widowControl w:val="0"/>
              <w:autoSpaceDE w:val="0"/>
              <w:autoSpaceDN w:val="0"/>
              <w:adjustRightInd w:val="0"/>
              <w:ind w:left="-108" w:right="-105"/>
              <w:jc w:val="center"/>
            </w:pPr>
            <w:r>
              <w:t>99.75 - 99.99</w:t>
            </w:r>
          </w:p>
        </w:tc>
        <w:tc>
          <w:tcPr>
            <w:tcW w:w="3636" w:type="dxa"/>
          </w:tcPr>
          <w:p w:rsidR="00697C24" w:rsidRDefault="00697C24" w:rsidP="004C0275">
            <w:pPr>
              <w:widowControl w:val="0"/>
              <w:autoSpaceDE w:val="0"/>
              <w:autoSpaceDN w:val="0"/>
              <w:adjustRightInd w:val="0"/>
              <w:ind w:left="-111" w:right="-102"/>
              <w:jc w:val="center"/>
            </w:pPr>
            <w:r>
              <w:t>30</w:t>
            </w:r>
          </w:p>
        </w:tc>
      </w:tr>
      <w:tr w:rsidR="00697C24" w:rsidTr="004C0275">
        <w:tc>
          <w:tcPr>
            <w:tcW w:w="2577" w:type="dxa"/>
          </w:tcPr>
          <w:p w:rsidR="00697C24" w:rsidRDefault="00697C24" w:rsidP="004C0275">
            <w:pPr>
              <w:widowControl w:val="0"/>
              <w:autoSpaceDE w:val="0"/>
              <w:autoSpaceDN w:val="0"/>
              <w:adjustRightInd w:val="0"/>
              <w:ind w:left="-108" w:right="-105"/>
              <w:jc w:val="center"/>
            </w:pPr>
            <w:r>
              <w:t>99.54 - 99.74</w:t>
            </w:r>
          </w:p>
        </w:tc>
        <w:tc>
          <w:tcPr>
            <w:tcW w:w="3636" w:type="dxa"/>
          </w:tcPr>
          <w:p w:rsidR="00697C24" w:rsidRDefault="00697C24" w:rsidP="004C0275">
            <w:pPr>
              <w:widowControl w:val="0"/>
              <w:autoSpaceDE w:val="0"/>
              <w:autoSpaceDN w:val="0"/>
              <w:adjustRightInd w:val="0"/>
              <w:ind w:left="-111" w:right="-102"/>
              <w:jc w:val="center"/>
            </w:pPr>
            <w:r>
              <w:t>29</w:t>
            </w:r>
          </w:p>
        </w:tc>
      </w:tr>
      <w:tr w:rsidR="00697C24" w:rsidTr="004C0275">
        <w:tc>
          <w:tcPr>
            <w:tcW w:w="2577" w:type="dxa"/>
          </w:tcPr>
          <w:p w:rsidR="00697C24" w:rsidRDefault="00697C24" w:rsidP="004C0275">
            <w:pPr>
              <w:widowControl w:val="0"/>
              <w:autoSpaceDE w:val="0"/>
              <w:autoSpaceDN w:val="0"/>
              <w:adjustRightInd w:val="0"/>
              <w:ind w:left="-108" w:right="-105"/>
              <w:jc w:val="center"/>
            </w:pPr>
            <w:r>
              <w:t>99.19 - 99.53</w:t>
            </w:r>
          </w:p>
        </w:tc>
        <w:tc>
          <w:tcPr>
            <w:tcW w:w="3636" w:type="dxa"/>
          </w:tcPr>
          <w:p w:rsidR="00697C24" w:rsidRDefault="00697C24" w:rsidP="004C0275">
            <w:pPr>
              <w:widowControl w:val="0"/>
              <w:autoSpaceDE w:val="0"/>
              <w:autoSpaceDN w:val="0"/>
              <w:adjustRightInd w:val="0"/>
              <w:ind w:left="-111" w:right="-102"/>
              <w:jc w:val="center"/>
            </w:pPr>
            <w:r>
              <w:t>28</w:t>
            </w:r>
          </w:p>
        </w:tc>
      </w:tr>
      <w:tr w:rsidR="00697C24" w:rsidTr="004C0275">
        <w:tc>
          <w:tcPr>
            <w:tcW w:w="2577" w:type="dxa"/>
          </w:tcPr>
          <w:p w:rsidR="00697C24" w:rsidRDefault="00697C24" w:rsidP="004C0275">
            <w:pPr>
              <w:widowControl w:val="0"/>
              <w:autoSpaceDE w:val="0"/>
              <w:autoSpaceDN w:val="0"/>
              <w:adjustRightInd w:val="0"/>
              <w:ind w:left="-108" w:right="-105"/>
              <w:jc w:val="center"/>
            </w:pPr>
            <w:r>
              <w:t>98.62 - 99.18</w:t>
            </w:r>
          </w:p>
        </w:tc>
        <w:tc>
          <w:tcPr>
            <w:tcW w:w="3636" w:type="dxa"/>
          </w:tcPr>
          <w:p w:rsidR="00697C24" w:rsidRDefault="00697C24" w:rsidP="004C0275">
            <w:pPr>
              <w:widowControl w:val="0"/>
              <w:autoSpaceDE w:val="0"/>
              <w:autoSpaceDN w:val="0"/>
              <w:adjustRightInd w:val="0"/>
              <w:ind w:left="-111" w:right="-102"/>
              <w:jc w:val="center"/>
            </w:pPr>
            <w:r>
              <w:t>27</w:t>
            </w:r>
          </w:p>
        </w:tc>
      </w:tr>
      <w:tr w:rsidR="00697C24" w:rsidTr="004C0275">
        <w:tc>
          <w:tcPr>
            <w:tcW w:w="2577" w:type="dxa"/>
          </w:tcPr>
          <w:p w:rsidR="00697C24" w:rsidRDefault="00697C24" w:rsidP="004C0275">
            <w:pPr>
              <w:widowControl w:val="0"/>
              <w:autoSpaceDE w:val="0"/>
              <w:autoSpaceDN w:val="0"/>
              <w:adjustRightInd w:val="0"/>
              <w:ind w:left="-108" w:right="-105"/>
              <w:jc w:val="center"/>
            </w:pPr>
            <w:r>
              <w:t>97.73 - 98.61</w:t>
            </w:r>
          </w:p>
        </w:tc>
        <w:tc>
          <w:tcPr>
            <w:tcW w:w="3636" w:type="dxa"/>
          </w:tcPr>
          <w:p w:rsidR="00697C24" w:rsidRDefault="00697C24" w:rsidP="004C0275">
            <w:pPr>
              <w:widowControl w:val="0"/>
              <w:autoSpaceDE w:val="0"/>
              <w:autoSpaceDN w:val="0"/>
              <w:adjustRightInd w:val="0"/>
              <w:ind w:left="-111" w:right="-102"/>
              <w:jc w:val="center"/>
            </w:pPr>
            <w:r>
              <w:t>26</w:t>
            </w:r>
          </w:p>
        </w:tc>
      </w:tr>
      <w:tr w:rsidR="00697C24" w:rsidTr="004C0275">
        <w:tc>
          <w:tcPr>
            <w:tcW w:w="2577" w:type="dxa"/>
          </w:tcPr>
          <w:p w:rsidR="00697C24" w:rsidRDefault="00697C24" w:rsidP="004C0275">
            <w:pPr>
              <w:widowControl w:val="0"/>
              <w:autoSpaceDE w:val="0"/>
              <w:autoSpaceDN w:val="0"/>
              <w:adjustRightInd w:val="0"/>
              <w:ind w:left="-108" w:right="-105"/>
              <w:jc w:val="center"/>
            </w:pPr>
            <w:r>
              <w:t>96.42 - 97.72</w:t>
            </w:r>
          </w:p>
        </w:tc>
        <w:tc>
          <w:tcPr>
            <w:tcW w:w="3636" w:type="dxa"/>
          </w:tcPr>
          <w:p w:rsidR="00697C24" w:rsidRDefault="00697C24" w:rsidP="004C0275">
            <w:pPr>
              <w:widowControl w:val="0"/>
              <w:autoSpaceDE w:val="0"/>
              <w:autoSpaceDN w:val="0"/>
              <w:adjustRightInd w:val="0"/>
              <w:ind w:left="-111" w:right="-102"/>
              <w:jc w:val="center"/>
            </w:pPr>
            <w:r>
              <w:t>25</w:t>
            </w:r>
          </w:p>
        </w:tc>
      </w:tr>
      <w:tr w:rsidR="00697C24" w:rsidTr="004C0275">
        <w:tc>
          <w:tcPr>
            <w:tcW w:w="2577" w:type="dxa"/>
          </w:tcPr>
          <w:p w:rsidR="00697C24" w:rsidRDefault="00697C24" w:rsidP="004C0275">
            <w:pPr>
              <w:widowControl w:val="0"/>
              <w:autoSpaceDE w:val="0"/>
              <w:autoSpaceDN w:val="0"/>
              <w:adjustRightInd w:val="0"/>
              <w:ind w:left="-108" w:right="-105"/>
              <w:jc w:val="center"/>
            </w:pPr>
            <w:r>
              <w:t>94.53 - 96.41</w:t>
            </w:r>
          </w:p>
        </w:tc>
        <w:tc>
          <w:tcPr>
            <w:tcW w:w="3636" w:type="dxa"/>
          </w:tcPr>
          <w:p w:rsidR="00697C24" w:rsidRDefault="00697C24" w:rsidP="004C0275">
            <w:pPr>
              <w:widowControl w:val="0"/>
              <w:autoSpaceDE w:val="0"/>
              <w:autoSpaceDN w:val="0"/>
              <w:adjustRightInd w:val="0"/>
              <w:ind w:left="-111" w:right="-102"/>
              <w:jc w:val="center"/>
            </w:pPr>
            <w:r>
              <w:t>24</w:t>
            </w:r>
          </w:p>
        </w:tc>
      </w:tr>
      <w:tr w:rsidR="00697C24" w:rsidTr="004C0275">
        <w:tc>
          <w:tcPr>
            <w:tcW w:w="2577" w:type="dxa"/>
          </w:tcPr>
          <w:p w:rsidR="00697C24" w:rsidRDefault="00697C24" w:rsidP="004C0275">
            <w:pPr>
              <w:widowControl w:val="0"/>
              <w:autoSpaceDE w:val="0"/>
              <w:autoSpaceDN w:val="0"/>
              <w:adjustRightInd w:val="0"/>
              <w:ind w:left="-108" w:right="-105"/>
              <w:jc w:val="center"/>
            </w:pPr>
            <w:r>
              <w:t>91.93 - 94.52</w:t>
            </w:r>
          </w:p>
        </w:tc>
        <w:tc>
          <w:tcPr>
            <w:tcW w:w="3636" w:type="dxa"/>
          </w:tcPr>
          <w:p w:rsidR="00697C24" w:rsidRDefault="00697C24" w:rsidP="004C0275">
            <w:pPr>
              <w:widowControl w:val="0"/>
              <w:autoSpaceDE w:val="0"/>
              <w:autoSpaceDN w:val="0"/>
              <w:adjustRightInd w:val="0"/>
              <w:ind w:left="-111" w:right="-102"/>
              <w:jc w:val="center"/>
            </w:pPr>
            <w:r>
              <w:t>23</w:t>
            </w:r>
          </w:p>
        </w:tc>
      </w:tr>
      <w:tr w:rsidR="00697C24" w:rsidTr="004C0275">
        <w:tc>
          <w:tcPr>
            <w:tcW w:w="2577" w:type="dxa"/>
          </w:tcPr>
          <w:p w:rsidR="00697C24" w:rsidRDefault="00697C24" w:rsidP="004C0275">
            <w:pPr>
              <w:widowControl w:val="0"/>
              <w:autoSpaceDE w:val="0"/>
              <w:autoSpaceDN w:val="0"/>
              <w:adjustRightInd w:val="0"/>
              <w:ind w:left="-108" w:right="-105"/>
              <w:jc w:val="center"/>
            </w:pPr>
            <w:r>
              <w:t>88.50 - 91.92</w:t>
            </w:r>
          </w:p>
        </w:tc>
        <w:tc>
          <w:tcPr>
            <w:tcW w:w="3636" w:type="dxa"/>
          </w:tcPr>
          <w:p w:rsidR="00697C24" w:rsidRDefault="00697C24" w:rsidP="004C0275">
            <w:pPr>
              <w:widowControl w:val="0"/>
              <w:autoSpaceDE w:val="0"/>
              <w:autoSpaceDN w:val="0"/>
              <w:adjustRightInd w:val="0"/>
              <w:ind w:left="-111" w:right="-102"/>
              <w:jc w:val="center"/>
            </w:pPr>
            <w:r>
              <w:t>22</w:t>
            </w:r>
          </w:p>
        </w:tc>
      </w:tr>
      <w:tr w:rsidR="00697C24" w:rsidTr="004C0275">
        <w:tc>
          <w:tcPr>
            <w:tcW w:w="2577" w:type="dxa"/>
          </w:tcPr>
          <w:p w:rsidR="00697C24" w:rsidRDefault="00697C24" w:rsidP="004C0275">
            <w:pPr>
              <w:widowControl w:val="0"/>
              <w:autoSpaceDE w:val="0"/>
              <w:autoSpaceDN w:val="0"/>
              <w:adjustRightInd w:val="0"/>
              <w:ind w:left="-108" w:right="-105"/>
              <w:jc w:val="center"/>
            </w:pPr>
            <w:r>
              <w:t>84.14 - 88.49</w:t>
            </w:r>
          </w:p>
        </w:tc>
        <w:tc>
          <w:tcPr>
            <w:tcW w:w="3636" w:type="dxa"/>
          </w:tcPr>
          <w:p w:rsidR="00697C24" w:rsidRDefault="00697C24" w:rsidP="004C0275">
            <w:pPr>
              <w:widowControl w:val="0"/>
              <w:autoSpaceDE w:val="0"/>
              <w:autoSpaceDN w:val="0"/>
              <w:adjustRightInd w:val="0"/>
              <w:ind w:left="-111" w:right="-102"/>
              <w:jc w:val="center"/>
            </w:pPr>
            <w:r>
              <w:t>21</w:t>
            </w:r>
          </w:p>
        </w:tc>
      </w:tr>
      <w:tr w:rsidR="00697C24" w:rsidTr="004C0275">
        <w:tc>
          <w:tcPr>
            <w:tcW w:w="2577" w:type="dxa"/>
          </w:tcPr>
          <w:p w:rsidR="00697C24" w:rsidRDefault="00697C24" w:rsidP="004C0275">
            <w:pPr>
              <w:widowControl w:val="0"/>
              <w:autoSpaceDE w:val="0"/>
              <w:autoSpaceDN w:val="0"/>
              <w:adjustRightInd w:val="0"/>
              <w:ind w:left="-108" w:right="-105"/>
              <w:jc w:val="center"/>
            </w:pPr>
            <w:r>
              <w:t xml:space="preserve">78.82 - 84.13 </w:t>
            </w:r>
          </w:p>
        </w:tc>
        <w:tc>
          <w:tcPr>
            <w:tcW w:w="3636" w:type="dxa"/>
          </w:tcPr>
          <w:p w:rsidR="00697C24" w:rsidRDefault="00697C24" w:rsidP="004C0275">
            <w:pPr>
              <w:widowControl w:val="0"/>
              <w:autoSpaceDE w:val="0"/>
              <w:autoSpaceDN w:val="0"/>
              <w:adjustRightInd w:val="0"/>
              <w:ind w:left="-111" w:right="-102"/>
              <w:jc w:val="center"/>
            </w:pPr>
            <w:r>
              <w:t>20</w:t>
            </w:r>
          </w:p>
        </w:tc>
      </w:tr>
      <w:tr w:rsidR="00697C24" w:rsidTr="004C0275">
        <w:tc>
          <w:tcPr>
            <w:tcW w:w="2577" w:type="dxa"/>
          </w:tcPr>
          <w:p w:rsidR="00697C24" w:rsidRDefault="00697C24" w:rsidP="004C0275">
            <w:pPr>
              <w:widowControl w:val="0"/>
              <w:autoSpaceDE w:val="0"/>
              <w:autoSpaceDN w:val="0"/>
              <w:adjustRightInd w:val="0"/>
              <w:ind w:left="-108" w:right="-105"/>
              <w:jc w:val="center"/>
            </w:pPr>
            <w:r>
              <w:t>72.58 - 78.81</w:t>
            </w:r>
          </w:p>
        </w:tc>
        <w:tc>
          <w:tcPr>
            <w:tcW w:w="3636" w:type="dxa"/>
          </w:tcPr>
          <w:p w:rsidR="00697C24" w:rsidRDefault="00697C24" w:rsidP="004C0275">
            <w:pPr>
              <w:widowControl w:val="0"/>
              <w:autoSpaceDE w:val="0"/>
              <w:autoSpaceDN w:val="0"/>
              <w:adjustRightInd w:val="0"/>
              <w:ind w:left="-111" w:right="-102"/>
              <w:jc w:val="center"/>
            </w:pPr>
            <w:r>
              <w:t>19</w:t>
            </w:r>
          </w:p>
        </w:tc>
      </w:tr>
      <w:tr w:rsidR="00697C24" w:rsidTr="004C0275">
        <w:tc>
          <w:tcPr>
            <w:tcW w:w="2577" w:type="dxa"/>
          </w:tcPr>
          <w:p w:rsidR="00697C24" w:rsidRDefault="00697C24" w:rsidP="004C0275">
            <w:pPr>
              <w:widowControl w:val="0"/>
              <w:autoSpaceDE w:val="0"/>
              <w:autoSpaceDN w:val="0"/>
              <w:adjustRightInd w:val="0"/>
              <w:ind w:left="-108" w:right="-105"/>
              <w:jc w:val="center"/>
            </w:pPr>
            <w:r>
              <w:t>65.55 - 72.57</w:t>
            </w:r>
          </w:p>
        </w:tc>
        <w:tc>
          <w:tcPr>
            <w:tcW w:w="3636" w:type="dxa"/>
          </w:tcPr>
          <w:p w:rsidR="00697C24" w:rsidRDefault="00697C24" w:rsidP="004C0275">
            <w:pPr>
              <w:widowControl w:val="0"/>
              <w:autoSpaceDE w:val="0"/>
              <w:autoSpaceDN w:val="0"/>
              <w:adjustRightInd w:val="0"/>
              <w:ind w:left="-111" w:right="-102"/>
              <w:jc w:val="center"/>
            </w:pPr>
            <w:r>
              <w:t>18</w:t>
            </w:r>
          </w:p>
        </w:tc>
      </w:tr>
      <w:tr w:rsidR="00697C24" w:rsidTr="004C0275">
        <w:tc>
          <w:tcPr>
            <w:tcW w:w="2577" w:type="dxa"/>
          </w:tcPr>
          <w:p w:rsidR="00697C24" w:rsidRDefault="00697C24" w:rsidP="004C0275">
            <w:pPr>
              <w:widowControl w:val="0"/>
              <w:autoSpaceDE w:val="0"/>
              <w:autoSpaceDN w:val="0"/>
              <w:adjustRightInd w:val="0"/>
              <w:ind w:left="-108" w:right="-105"/>
              <w:jc w:val="center"/>
            </w:pPr>
            <w:r>
              <w:t>57.94 - 65.54</w:t>
            </w:r>
          </w:p>
        </w:tc>
        <w:tc>
          <w:tcPr>
            <w:tcW w:w="3636" w:type="dxa"/>
          </w:tcPr>
          <w:p w:rsidR="00697C24" w:rsidRDefault="00697C24" w:rsidP="004C0275">
            <w:pPr>
              <w:widowControl w:val="0"/>
              <w:autoSpaceDE w:val="0"/>
              <w:autoSpaceDN w:val="0"/>
              <w:adjustRightInd w:val="0"/>
              <w:ind w:left="-111" w:right="-102"/>
              <w:jc w:val="center"/>
            </w:pPr>
            <w:r>
              <w:t>17</w:t>
            </w:r>
          </w:p>
        </w:tc>
      </w:tr>
      <w:tr w:rsidR="00697C24" w:rsidTr="004C0275">
        <w:tc>
          <w:tcPr>
            <w:tcW w:w="2577" w:type="dxa"/>
          </w:tcPr>
          <w:p w:rsidR="00697C24" w:rsidRDefault="00697C24" w:rsidP="004C0275">
            <w:pPr>
              <w:widowControl w:val="0"/>
              <w:autoSpaceDE w:val="0"/>
              <w:autoSpaceDN w:val="0"/>
              <w:adjustRightInd w:val="0"/>
              <w:ind w:left="-108" w:right="-105"/>
              <w:jc w:val="center"/>
            </w:pPr>
            <w:r>
              <w:t>50.00 - 57.93</w:t>
            </w:r>
          </w:p>
        </w:tc>
        <w:tc>
          <w:tcPr>
            <w:tcW w:w="3636" w:type="dxa"/>
          </w:tcPr>
          <w:p w:rsidR="00697C24" w:rsidRDefault="00697C24" w:rsidP="004C0275">
            <w:pPr>
              <w:widowControl w:val="0"/>
              <w:autoSpaceDE w:val="0"/>
              <w:autoSpaceDN w:val="0"/>
              <w:adjustRightInd w:val="0"/>
              <w:ind w:left="-111" w:right="-102"/>
              <w:jc w:val="center"/>
            </w:pPr>
            <w:r>
              <w:t>16</w:t>
            </w:r>
          </w:p>
        </w:tc>
      </w:tr>
    </w:tbl>
    <w:p w:rsidR="00697C24" w:rsidRDefault="00697C24" w:rsidP="00697C24"/>
    <w:p w:rsidR="00697C24" w:rsidRDefault="00697C24" w:rsidP="00697C24">
      <w:pPr>
        <w:widowControl w:val="0"/>
        <w:autoSpaceDE w:val="0"/>
        <w:autoSpaceDN w:val="0"/>
        <w:adjustRightInd w:val="0"/>
        <w:ind w:left="1440" w:hanging="720"/>
      </w:pPr>
      <w:r>
        <w:t>d)</w:t>
      </w:r>
      <w:r>
        <w:tab/>
        <w:t xml:space="preserve">An Illinois Weighted Selection Score for each student shall be computed by adding the Illinois Standard Test Score to the Illinois Standard Rank Score. </w:t>
      </w:r>
    </w:p>
    <w:p w:rsidR="00697C24" w:rsidRDefault="00697C24" w:rsidP="00697C24"/>
    <w:p w:rsidR="00697C24" w:rsidRDefault="00697C24" w:rsidP="00697C24">
      <w:pPr>
        <w:widowControl w:val="0"/>
        <w:autoSpaceDE w:val="0"/>
        <w:autoSpaceDN w:val="0"/>
        <w:adjustRightInd w:val="0"/>
        <w:ind w:left="1440" w:hanging="720"/>
      </w:pPr>
      <w:r>
        <w:t>e)</w:t>
      </w:r>
      <w:r>
        <w:tab/>
        <w:t xml:space="preserve">In any academic year, the number of State Scholars is approximately equal to ten percent of the estimated total number of Illinois high school graduates. ISAC annually establishes a minimum Weighted Selection Score to yield this result. </w:t>
      </w:r>
    </w:p>
    <w:p w:rsidR="00697C24" w:rsidRDefault="00697C24" w:rsidP="00697C24"/>
    <w:p w:rsidR="00697C24" w:rsidRDefault="00697C24" w:rsidP="00697C24">
      <w:pPr>
        <w:widowControl w:val="0"/>
        <w:autoSpaceDE w:val="0"/>
        <w:autoSpaceDN w:val="0"/>
        <w:adjustRightInd w:val="0"/>
        <w:ind w:left="1440" w:hanging="720"/>
      </w:pPr>
      <w:r>
        <w:t>f)</w:t>
      </w:r>
      <w:r>
        <w:tab/>
        <w:t>Notwithstanding the previous provisions in this Section, any student nominated by his or her school shall be designated a State Scholar if that student achieves a score at or above the 95</w:t>
      </w:r>
      <w:r w:rsidRPr="003654AC">
        <w:rPr>
          <w:vertAlign w:val="superscript"/>
        </w:rPr>
        <w:t>th</w:t>
      </w:r>
      <w:r>
        <w:t xml:space="preserve"> percentile on the ACT, or the equivalent on a comparable examination, regardless of that student's class rank. </w:t>
      </w:r>
    </w:p>
    <w:p w:rsidR="00697C24" w:rsidRDefault="00697C24" w:rsidP="00697C24"/>
    <w:p w:rsidR="00697C24" w:rsidRDefault="00697C24" w:rsidP="00697C24">
      <w:pPr>
        <w:widowControl w:val="0"/>
        <w:autoSpaceDE w:val="0"/>
        <w:autoSpaceDN w:val="0"/>
        <w:adjustRightInd w:val="0"/>
        <w:ind w:left="1440" w:hanging="720"/>
      </w:pPr>
      <w:r>
        <w:t>g)</w:t>
      </w:r>
      <w:r>
        <w:tab/>
        <w:t>A Certificate of Achievement and congratulatory letter are issued for each State Scholar.  Subject to appropriation, each State Scholar who enrolls or is enrolled at least half-time in his or her first year at an Illinois institution of higher learning shall also receive a one-time grant of $1,000 to be applied to tuition and mandatory fees. A student who has been awarded a Merit Recognition Scholarship may not be awarded a grant under this Part.</w:t>
      </w:r>
    </w:p>
    <w:p w:rsidR="00697C24" w:rsidRDefault="00697C24" w:rsidP="00697C24"/>
    <w:p w:rsidR="00697C24" w:rsidRDefault="00697C24" w:rsidP="00697C24">
      <w:pPr>
        <w:widowControl w:val="0"/>
        <w:autoSpaceDE w:val="0"/>
        <w:autoSpaceDN w:val="0"/>
        <w:adjustRightInd w:val="0"/>
        <w:ind w:left="1440" w:hanging="720"/>
      </w:pPr>
      <w:r>
        <w:t>h)</w:t>
      </w:r>
      <w:r>
        <w:tab/>
        <w:t xml:space="preserve">A listing of State Scholars shall be available upon request to colleges, members of the General Assembly and to the media. </w:t>
      </w:r>
    </w:p>
    <w:p w:rsidR="00697C24" w:rsidRDefault="00697C24" w:rsidP="00697C24"/>
    <w:p w:rsidR="00697C24" w:rsidRDefault="00697C24" w:rsidP="00697C24">
      <w:pPr>
        <w:widowControl w:val="0"/>
        <w:autoSpaceDE w:val="0"/>
        <w:autoSpaceDN w:val="0"/>
        <w:adjustRightInd w:val="0"/>
        <w:ind w:left="1440" w:hanging="720"/>
      </w:pPr>
      <w:r>
        <w:t>i)</w:t>
      </w:r>
      <w:r>
        <w:tab/>
        <w:t xml:space="preserve">High school officials or student candidates shall have a period of 60 days following the announcement of the State Scholars to appeal a student's status. (See 23 Ill. Adm. Code 2700.70, Appeal Procedures.) </w:t>
      </w:r>
    </w:p>
    <w:p w:rsidR="00697C24" w:rsidRDefault="00697C24" w:rsidP="00697C24"/>
    <w:p w:rsidR="00697C24" w:rsidRDefault="00697C24" w:rsidP="00697C24">
      <w:pPr>
        <w:widowControl w:val="0"/>
        <w:autoSpaceDE w:val="0"/>
        <w:autoSpaceDN w:val="0"/>
        <w:adjustRightInd w:val="0"/>
        <w:ind w:left="1440" w:hanging="720"/>
      </w:pPr>
      <w:r>
        <w:t>j)</w:t>
      </w:r>
      <w:r>
        <w:tab/>
        <w:t xml:space="preserve">If an appeal concerning an applicant's eligibility is received, ISAC shall request the high school verify the reported data.  If the conflict remains, ISAC shall conduct an audit of the high school's records in accordance with 23 Ill. Adm. Code 2700.60. </w:t>
      </w:r>
    </w:p>
    <w:p w:rsidR="00697C24" w:rsidRDefault="00697C24" w:rsidP="00697C24"/>
    <w:p w:rsidR="00697C24" w:rsidRPr="00D55B37" w:rsidRDefault="00697C24" w:rsidP="00697C24">
      <w:pPr>
        <w:pStyle w:val="JCARSourceNote"/>
        <w:ind w:left="720"/>
      </w:pPr>
      <w:r w:rsidRPr="00D55B37">
        <w:t xml:space="preserve">(Source:  </w:t>
      </w:r>
      <w:r>
        <w:t>Amended</w:t>
      </w:r>
      <w:r w:rsidRPr="00D55B37">
        <w:t xml:space="preserve"> at </w:t>
      </w:r>
      <w:r>
        <w:t>39 I</w:t>
      </w:r>
      <w:r w:rsidRPr="00D55B37">
        <w:t xml:space="preserve">ll. Reg. </w:t>
      </w:r>
      <w:r>
        <w:t>8447</w:t>
      </w:r>
      <w:r w:rsidRPr="00D55B37">
        <w:t xml:space="preserve">, effective </w:t>
      </w:r>
      <w:r>
        <w:t>July 1, 2015</w:t>
      </w:r>
      <w:r w:rsidRPr="00D55B37">
        <w:t>)</w:t>
      </w:r>
      <w:bookmarkStart w:id="0" w:name="_GoBack"/>
      <w:bookmarkEnd w:id="0"/>
    </w:p>
    <w:sectPr w:rsidR="00697C24" w:rsidRPr="00D55B37" w:rsidSect="00CA6C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CC9"/>
    <w:rsid w:val="000A4281"/>
    <w:rsid w:val="0024786F"/>
    <w:rsid w:val="00275F47"/>
    <w:rsid w:val="003611D0"/>
    <w:rsid w:val="003654AC"/>
    <w:rsid w:val="00374404"/>
    <w:rsid w:val="00441CA9"/>
    <w:rsid w:val="00484D6F"/>
    <w:rsid w:val="00552DCA"/>
    <w:rsid w:val="005C3366"/>
    <w:rsid w:val="005C5FE8"/>
    <w:rsid w:val="005D2DB1"/>
    <w:rsid w:val="006068F5"/>
    <w:rsid w:val="00687286"/>
    <w:rsid w:val="00697C24"/>
    <w:rsid w:val="007B5BAD"/>
    <w:rsid w:val="00870EEB"/>
    <w:rsid w:val="008924D6"/>
    <w:rsid w:val="008D6C53"/>
    <w:rsid w:val="008E2E1A"/>
    <w:rsid w:val="009922ED"/>
    <w:rsid w:val="009F0CC9"/>
    <w:rsid w:val="00A637D7"/>
    <w:rsid w:val="00A95F95"/>
    <w:rsid w:val="00B35731"/>
    <w:rsid w:val="00C10F6F"/>
    <w:rsid w:val="00C55079"/>
    <w:rsid w:val="00CA6CCA"/>
    <w:rsid w:val="00D03F0C"/>
    <w:rsid w:val="00E35023"/>
    <w:rsid w:val="00E73E3D"/>
    <w:rsid w:val="00E7652C"/>
    <w:rsid w:val="00E86622"/>
    <w:rsid w:val="00EF4ED5"/>
    <w:rsid w:val="00F0365C"/>
    <w:rsid w:val="00F10F26"/>
    <w:rsid w:val="00F252C5"/>
    <w:rsid w:val="00F5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B78FB3-180E-4606-A64B-6A654724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3654AC"/>
    <w:pPr>
      <w:ind w:left="720" w:hanging="360"/>
    </w:pPr>
  </w:style>
  <w:style w:type="paragraph" w:styleId="BodyText">
    <w:name w:val="Body Text"/>
    <w:basedOn w:val="Normal"/>
    <w:rsid w:val="003654AC"/>
    <w:pPr>
      <w:spacing w:after="120"/>
    </w:pPr>
  </w:style>
  <w:style w:type="paragraph" w:styleId="BodyTextIndent">
    <w:name w:val="Body Text Indent"/>
    <w:basedOn w:val="Normal"/>
    <w:rsid w:val="003654AC"/>
    <w:pPr>
      <w:spacing w:after="120"/>
      <w:ind w:left="360"/>
    </w:pPr>
  </w:style>
  <w:style w:type="paragraph" w:customStyle="1" w:styleId="JCARSourceNote">
    <w:name w:val="JCAR Source Note"/>
    <w:basedOn w:val="Normal"/>
    <w:rsid w:val="00C1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King, Melissa A.</cp:lastModifiedBy>
  <cp:revision>5</cp:revision>
  <cp:lastPrinted>2003-02-05T23:17:00Z</cp:lastPrinted>
  <dcterms:created xsi:type="dcterms:W3CDTF">2015-04-27T20:55:00Z</dcterms:created>
  <dcterms:modified xsi:type="dcterms:W3CDTF">2015-06-12T19:00:00Z</dcterms:modified>
</cp:coreProperties>
</file>