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EB" w:rsidRDefault="00AA0FEB" w:rsidP="00AA0F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ILLINOIS LOCAL GOVERNMENTAL LAW</w:t>
      </w:r>
    </w:p>
    <w:p w:rsidR="00AA0FEB" w:rsidRDefault="00AA0FEB" w:rsidP="00AA0FEB">
      <w:pPr>
        <w:widowControl w:val="0"/>
        <w:autoSpaceDE w:val="0"/>
        <w:autoSpaceDN w:val="0"/>
        <w:adjustRightInd w:val="0"/>
        <w:jc w:val="center"/>
      </w:pPr>
      <w:r>
        <w:t>ENFORCEMENT OFFICERS TRAINING BOARD</w:t>
      </w:r>
    </w:p>
    <w:sectPr w:rsidR="00AA0FEB" w:rsidSect="00AA0F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FEB"/>
    <w:rsid w:val="005C3366"/>
    <w:rsid w:val="00810176"/>
    <w:rsid w:val="00A652D1"/>
    <w:rsid w:val="00AA0FEB"/>
    <w:rsid w:val="00C4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ILLINOIS LOCAL GOVERNMENTAL LAW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ILLINOIS LOCAL GOVERNMENTAL LAW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