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00D" w:rsidRDefault="00A8500D" w:rsidP="004C4B4E">
      <w:pPr>
        <w:jc w:val="both"/>
        <w:rPr>
          <w:b/>
        </w:rPr>
      </w:pPr>
      <w:bookmarkStart w:id="0" w:name="_GoBack"/>
      <w:bookmarkEnd w:id="0"/>
    </w:p>
    <w:p w:rsidR="004C4B4E" w:rsidRPr="004C4B4E" w:rsidRDefault="004C4B4E" w:rsidP="004C4B4E">
      <w:pPr>
        <w:jc w:val="both"/>
      </w:pPr>
      <w:r w:rsidRPr="004C4B4E">
        <w:rPr>
          <w:b/>
        </w:rPr>
        <w:t>Section 1283.10  Purpose</w:t>
      </w:r>
    </w:p>
    <w:p w:rsidR="004C4B4E" w:rsidRPr="004C4B4E" w:rsidRDefault="004C4B4E" w:rsidP="004C4B4E">
      <w:pPr>
        <w:jc w:val="both"/>
      </w:pPr>
    </w:p>
    <w:p w:rsidR="004C4B4E" w:rsidRPr="004C4B4E" w:rsidRDefault="004C4B4E" w:rsidP="004C4B4E">
      <w:pPr>
        <w:jc w:val="both"/>
      </w:pPr>
      <w:r w:rsidRPr="004C4B4E">
        <w:t>The purpose of this Part is to provide requirements and procedures for the registration of child murderers and violent offenders against youth.</w:t>
      </w:r>
    </w:p>
    <w:sectPr w:rsidR="004C4B4E" w:rsidRPr="004C4B4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5EF0" w:rsidRDefault="00115EF0">
      <w:r>
        <w:separator/>
      </w:r>
    </w:p>
  </w:endnote>
  <w:endnote w:type="continuationSeparator" w:id="0">
    <w:p w:rsidR="00115EF0" w:rsidRDefault="0011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5EF0" w:rsidRDefault="00115EF0">
      <w:r>
        <w:separator/>
      </w:r>
    </w:p>
  </w:footnote>
  <w:footnote w:type="continuationSeparator" w:id="0">
    <w:p w:rsidR="00115EF0" w:rsidRDefault="00115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4B4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B0C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15EF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4B4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500D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607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F5A4F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