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76" w:rsidRDefault="003A1376" w:rsidP="003A1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376" w:rsidRDefault="003A1376" w:rsidP="003A1376">
      <w:pPr>
        <w:widowControl w:val="0"/>
        <w:autoSpaceDE w:val="0"/>
        <w:autoSpaceDN w:val="0"/>
        <w:adjustRightInd w:val="0"/>
      </w:pPr>
      <w:r>
        <w:t xml:space="preserve">AUTHORITY:  Implementing and authorized by Sections 5-7 and 5-12 of the Boat Registration and Safety Act [625 ILCS 45/5-7 and 5-12]. </w:t>
      </w:r>
    </w:p>
    <w:sectPr w:rsidR="003A1376" w:rsidSect="003A137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376"/>
    <w:rsid w:val="000B43EB"/>
    <w:rsid w:val="001F79EA"/>
    <w:rsid w:val="003132C0"/>
    <w:rsid w:val="003A1376"/>
    <w:rsid w:val="005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5-7 and 5-12 of the Boat Registration and Safety Act [625 ILCS 45/5-7 and 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5-7 and 5-12 of the Boat Registration and Safety Act [625 ILCS 45/5-7 and 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