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04" w:rsidRDefault="00437B04" w:rsidP="004E0D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7B04" w:rsidRDefault="00437B04" w:rsidP="004E0DF9">
      <w:pPr>
        <w:widowControl w:val="0"/>
        <w:autoSpaceDE w:val="0"/>
        <w:autoSpaceDN w:val="0"/>
        <w:adjustRightInd w:val="0"/>
      </w:pPr>
      <w:r>
        <w:t xml:space="preserve">AUTHORITY:  Implementing and authorized by Sections 5/10-30, 10-35, 10-60, 10-115, 20-5 and 20-90 of the Fish and Aquatic Life Code [515 ILCS 5/10-30, 10-35, 10-60, 10-115, 20-5 and 20-90] and the Aquaculture Development Act [20 ILCS 215]. </w:t>
      </w:r>
    </w:p>
    <w:sectPr w:rsidR="00437B0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7B04"/>
    <w:rsid w:val="00437B04"/>
    <w:rsid w:val="004E0DF9"/>
    <w:rsid w:val="00B01327"/>
    <w:rsid w:val="00D90B60"/>
    <w:rsid w:val="00E2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5/10-30, 10-35, 10-60, 10-115, 20-5 and 20-90 of the Fish and Aquatic Life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5/10-30, 10-35, 10-60, 10-115, 20-5 and 20-90 of the Fish and Aquatic Life</dc:title>
  <dc:subject/>
  <dc:creator>ThomasVD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