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4F5A" w14:textId="77777777" w:rsidR="004820B1" w:rsidRPr="00B90370" w:rsidRDefault="004820B1" w:rsidP="00D84F15">
      <w:pPr>
        <w:rPr>
          <w:bdr w:val="none" w:sz="0" w:space="0" w:color="auto" w:frame="1"/>
        </w:rPr>
      </w:pPr>
    </w:p>
    <w:p w14:paraId="3452F4E0" w14:textId="603297A4" w:rsidR="00D84F15" w:rsidRPr="00B90370" w:rsidRDefault="00D84F15" w:rsidP="00D84F15">
      <w:pPr>
        <w:rPr>
          <w:b/>
          <w:bCs/>
          <w:bdr w:val="none" w:sz="0" w:space="0" w:color="auto" w:frame="1"/>
        </w:rPr>
      </w:pPr>
      <w:r w:rsidRPr="00B90370">
        <w:rPr>
          <w:b/>
          <w:bCs/>
          <w:bdr w:val="none" w:sz="0" w:space="0" w:color="auto" w:frame="1"/>
        </w:rPr>
        <w:t>Section 830.40  Eligible Grant Applicants</w:t>
      </w:r>
    </w:p>
    <w:p w14:paraId="6D88F7AF" w14:textId="77777777" w:rsidR="00D84F15" w:rsidRPr="00B90370" w:rsidRDefault="00D84F15" w:rsidP="00D84F15">
      <w:pPr>
        <w:rPr>
          <w:bdr w:val="none" w:sz="0" w:space="0" w:color="auto" w:frame="1"/>
        </w:rPr>
      </w:pPr>
    </w:p>
    <w:p w14:paraId="3A92EB43" w14:textId="256746B5" w:rsidR="00D84F15" w:rsidRPr="00B90370" w:rsidRDefault="00D84F15" w:rsidP="00D84F15">
      <w:pPr>
        <w:rPr>
          <w:bdr w:val="none" w:sz="0" w:space="0" w:color="auto" w:frame="1"/>
        </w:rPr>
      </w:pPr>
      <w:r w:rsidRPr="00B90370">
        <w:rPr>
          <w:bdr w:val="none" w:sz="0" w:space="0" w:color="auto" w:frame="1"/>
        </w:rPr>
        <w:t>A single organization may propose to deliver all required services, including Program Administrator and training provider elements, or may partner with other entities to provide certain elements of the Program.  However, the lead applicant organization alone must meet all the requirements in subsections (a)(1)</w:t>
      </w:r>
      <w:r w:rsidR="00FC1611" w:rsidRPr="00B90370">
        <w:rPr>
          <w:bdr w:val="none" w:sz="0" w:space="0" w:color="auto" w:frame="1"/>
        </w:rPr>
        <w:t xml:space="preserve"> through </w:t>
      </w:r>
      <w:r w:rsidRPr="00B90370">
        <w:rPr>
          <w:bdr w:val="none" w:sz="0" w:space="0" w:color="auto" w:frame="1"/>
        </w:rPr>
        <w:t>(a)(3) and must be able to serve, with assistance from partner organizations as necessary, at least one facility or institution described in subsection (b).</w:t>
      </w:r>
    </w:p>
    <w:p w14:paraId="31583864" w14:textId="77777777" w:rsidR="00D84F15" w:rsidRPr="00B90370" w:rsidRDefault="00D84F15" w:rsidP="00D84F15">
      <w:pPr>
        <w:rPr>
          <w:bdr w:val="none" w:sz="0" w:space="0" w:color="auto" w:frame="1"/>
        </w:rPr>
      </w:pPr>
    </w:p>
    <w:p w14:paraId="20782002" w14:textId="77777777" w:rsidR="00D84F15" w:rsidRPr="00B90370" w:rsidRDefault="00D84F15" w:rsidP="00D84F15">
      <w:pPr>
        <w:ind w:left="1440" w:hanging="720"/>
        <w:rPr>
          <w:bdr w:val="none" w:sz="0" w:space="0" w:color="auto" w:frame="1"/>
        </w:rPr>
      </w:pPr>
      <w:r w:rsidRPr="00B90370">
        <w:rPr>
          <w:bdr w:val="none" w:sz="0" w:space="0" w:color="auto" w:frame="1"/>
        </w:rPr>
        <w:t>a)</w:t>
      </w:r>
      <w:r w:rsidRPr="00B90370">
        <w:rPr>
          <w:bdr w:val="none" w:sz="0" w:space="0" w:color="auto" w:frame="1"/>
        </w:rPr>
        <w:tab/>
        <w:t>To be eligible to receive a grant, at a minimum, applicants must demonstrate the following:</w:t>
      </w:r>
    </w:p>
    <w:p w14:paraId="3B70B1BC" w14:textId="77777777" w:rsidR="00D84F15" w:rsidRPr="00B90370" w:rsidRDefault="00D84F15" w:rsidP="00D84F15">
      <w:pPr>
        <w:rPr>
          <w:bdr w:val="none" w:sz="0" w:space="0" w:color="auto" w:frame="1"/>
        </w:rPr>
      </w:pPr>
    </w:p>
    <w:p w14:paraId="6D5F5E4C" w14:textId="77777777" w:rsidR="00D84F15" w:rsidRPr="00B90370" w:rsidRDefault="00D84F15" w:rsidP="00D84F15">
      <w:pPr>
        <w:ind w:left="2160" w:hanging="720"/>
        <w:rPr>
          <w:bdr w:val="none" w:sz="0" w:space="0" w:color="auto" w:frame="1"/>
        </w:rPr>
      </w:pPr>
      <w:r w:rsidRPr="00B90370">
        <w:rPr>
          <w:bdr w:val="none" w:sz="0" w:space="0" w:color="auto" w:frame="1"/>
        </w:rPr>
        <w:t>1)</w:t>
      </w:r>
      <w:r w:rsidRPr="00B90370">
        <w:rPr>
          <w:bdr w:val="none" w:sz="0" w:space="0" w:color="auto" w:frame="1"/>
        </w:rPr>
        <w:tab/>
        <w:t>Meet the definition of a community-based organization;</w:t>
      </w:r>
    </w:p>
    <w:p w14:paraId="7EB1841D" w14:textId="77777777" w:rsidR="00D84F15" w:rsidRPr="00B90370" w:rsidRDefault="00D84F15" w:rsidP="008E4B25">
      <w:pPr>
        <w:rPr>
          <w:bdr w:val="none" w:sz="0" w:space="0" w:color="auto" w:frame="1"/>
        </w:rPr>
      </w:pPr>
    </w:p>
    <w:p w14:paraId="7B264C22" w14:textId="77777777" w:rsidR="00D84F15" w:rsidRPr="00B90370" w:rsidRDefault="00D84F15" w:rsidP="00D84F15">
      <w:pPr>
        <w:ind w:left="2160" w:hanging="720"/>
        <w:rPr>
          <w:bdr w:val="none" w:sz="0" w:space="0" w:color="auto" w:frame="1"/>
        </w:rPr>
      </w:pPr>
      <w:r w:rsidRPr="00B90370">
        <w:rPr>
          <w:bdr w:val="none" w:sz="0" w:space="0" w:color="auto" w:frame="1"/>
        </w:rPr>
        <w:t>2)</w:t>
      </w:r>
      <w:r w:rsidRPr="00B90370">
        <w:rPr>
          <w:bdr w:val="none" w:sz="0" w:space="0" w:color="auto" w:frame="1"/>
        </w:rPr>
        <w:tab/>
        <w:t xml:space="preserve">Have an active </w:t>
      </w:r>
      <w:proofErr w:type="spellStart"/>
      <w:r w:rsidRPr="00B90370">
        <w:rPr>
          <w:bdr w:val="none" w:sz="0" w:space="0" w:color="auto" w:frame="1"/>
        </w:rPr>
        <w:t>GATA</w:t>
      </w:r>
      <w:proofErr w:type="spellEnd"/>
      <w:r w:rsidRPr="00B90370">
        <w:rPr>
          <w:bdr w:val="none" w:sz="0" w:space="0" w:color="auto" w:frame="1"/>
        </w:rPr>
        <w:t xml:space="preserve"> registration at the time the application is submitted and be qualified on the </w:t>
      </w:r>
      <w:proofErr w:type="spellStart"/>
      <w:r w:rsidRPr="00B90370">
        <w:rPr>
          <w:bdr w:val="none" w:sz="0" w:space="0" w:color="auto" w:frame="1"/>
        </w:rPr>
        <w:t>GATA</w:t>
      </w:r>
      <w:proofErr w:type="spellEnd"/>
      <w:r w:rsidRPr="00B90370">
        <w:rPr>
          <w:bdr w:val="none" w:sz="0" w:space="0" w:color="auto" w:frame="1"/>
        </w:rPr>
        <w:t xml:space="preserve"> Grantee Portal (https://grants.illinois.gov/portal/) by the time the application is reviewed by the Department;</w:t>
      </w:r>
    </w:p>
    <w:p w14:paraId="0743C172" w14:textId="77777777" w:rsidR="00D84F15" w:rsidRPr="00B90370" w:rsidRDefault="00D84F15" w:rsidP="008E4B25">
      <w:pPr>
        <w:rPr>
          <w:bdr w:val="none" w:sz="0" w:space="0" w:color="auto" w:frame="1"/>
        </w:rPr>
      </w:pPr>
    </w:p>
    <w:p w14:paraId="4D60E717" w14:textId="5A176738" w:rsidR="00D84F15" w:rsidRPr="00B90370" w:rsidRDefault="00D84F15" w:rsidP="00D84F15">
      <w:pPr>
        <w:ind w:left="2160" w:hanging="720"/>
        <w:rPr>
          <w:bdr w:val="none" w:sz="0" w:space="0" w:color="auto" w:frame="1"/>
        </w:rPr>
      </w:pPr>
      <w:r w:rsidRPr="00B90370">
        <w:rPr>
          <w:bdr w:val="none" w:sz="0" w:space="0" w:color="auto" w:frame="1"/>
        </w:rPr>
        <w:t>3)</w:t>
      </w:r>
      <w:r w:rsidRPr="00B90370">
        <w:rPr>
          <w:bdr w:val="none" w:sz="0" w:space="0" w:color="auto" w:frame="1"/>
        </w:rPr>
        <w:tab/>
      </w:r>
      <w:r w:rsidR="004F4962" w:rsidRPr="00B90370">
        <w:rPr>
          <w:bdr w:val="none" w:sz="0" w:space="0" w:color="auto" w:frame="1"/>
        </w:rPr>
        <w:t>Be</w:t>
      </w:r>
      <w:r w:rsidRPr="00B90370">
        <w:rPr>
          <w:bdr w:val="none" w:sz="0" w:space="0" w:color="auto" w:frame="1"/>
        </w:rPr>
        <w:t xml:space="preserve"> a regarded entity by the Internal Revenue Service [26 CFR 301.7701-3(b)(ii)] for federal income tax purposes; and</w:t>
      </w:r>
    </w:p>
    <w:p w14:paraId="198E2B6F" w14:textId="68DCA321" w:rsidR="00D84F15" w:rsidRPr="00B90370" w:rsidRDefault="00D84F15" w:rsidP="008E4B25">
      <w:pPr>
        <w:rPr>
          <w:bdr w:val="none" w:sz="0" w:space="0" w:color="auto" w:frame="1"/>
        </w:rPr>
      </w:pPr>
    </w:p>
    <w:p w14:paraId="7E24FF23" w14:textId="3030A5A2" w:rsidR="00D84F15" w:rsidRPr="00B90370" w:rsidRDefault="00D84F15" w:rsidP="00D84F15">
      <w:pPr>
        <w:ind w:left="2160" w:hanging="720"/>
        <w:rPr>
          <w:bdr w:val="none" w:sz="0" w:space="0" w:color="auto" w:frame="1"/>
        </w:rPr>
      </w:pPr>
      <w:r w:rsidRPr="00B90370">
        <w:rPr>
          <w:bdr w:val="none" w:sz="0" w:space="0" w:color="auto" w:frame="1"/>
        </w:rPr>
        <w:t>4)</w:t>
      </w:r>
      <w:r w:rsidRPr="00B90370">
        <w:rPr>
          <w:bdr w:val="none" w:sz="0" w:space="0" w:color="auto" w:frame="1"/>
        </w:rPr>
        <w:tab/>
      </w:r>
      <w:r w:rsidR="00085A31" w:rsidRPr="00B90370">
        <w:rPr>
          <w:bdr w:val="none" w:sz="0" w:space="0" w:color="auto" w:frame="1"/>
        </w:rPr>
        <w:t>Able to satisfy the required activities set forth in Section 830.50</w:t>
      </w:r>
      <w:r w:rsidRPr="00B90370">
        <w:rPr>
          <w:bdr w:val="none" w:sz="0" w:space="0" w:color="auto" w:frame="1"/>
        </w:rPr>
        <w:t>.</w:t>
      </w:r>
    </w:p>
    <w:p w14:paraId="6C5CDC4C" w14:textId="77777777" w:rsidR="00D84F15" w:rsidRPr="00B90370" w:rsidRDefault="00D84F15" w:rsidP="00D84F15">
      <w:pPr>
        <w:rPr>
          <w:bdr w:val="none" w:sz="0" w:space="0" w:color="auto" w:frame="1"/>
        </w:rPr>
      </w:pPr>
    </w:p>
    <w:p w14:paraId="417C2FBE" w14:textId="58941B68" w:rsidR="00D84F15" w:rsidRPr="00B90370" w:rsidRDefault="00D84F15" w:rsidP="00D84F15">
      <w:pPr>
        <w:ind w:left="1440" w:hanging="720"/>
        <w:rPr>
          <w:bdr w:val="none" w:sz="0" w:space="0" w:color="auto" w:frame="1"/>
        </w:rPr>
      </w:pPr>
      <w:r w:rsidRPr="00B90370">
        <w:rPr>
          <w:bdr w:val="none" w:sz="0" w:space="0" w:color="auto" w:frame="1"/>
        </w:rPr>
        <w:t>b)</w:t>
      </w:r>
      <w:r w:rsidRPr="00B90370">
        <w:rPr>
          <w:bdr w:val="none" w:sz="0" w:space="0" w:color="auto" w:frame="1"/>
        </w:rPr>
        <w:tab/>
        <w:t>The Department will award grants to serve eligible returning residents at DOC institutions and facilities approved by DOC and designated in the Notice of Funding Opportunity (</w:t>
      </w:r>
      <w:proofErr w:type="spellStart"/>
      <w:r w:rsidRPr="00B90370">
        <w:rPr>
          <w:bdr w:val="none" w:sz="0" w:space="0" w:color="auto" w:frame="1"/>
        </w:rPr>
        <w:t>NOFO</w:t>
      </w:r>
      <w:proofErr w:type="spellEnd"/>
      <w:r w:rsidRPr="00B90370">
        <w:rPr>
          <w:bdr w:val="none" w:sz="0" w:space="0" w:color="auto" w:frame="1"/>
        </w:rPr>
        <w:t>) to offer the Program, based on available programming space, staffing, population, facility mission, and security concerns.</w:t>
      </w:r>
    </w:p>
    <w:p w14:paraId="544067A9" w14:textId="77777777" w:rsidR="00D84F15" w:rsidRPr="00B90370" w:rsidRDefault="00D84F15" w:rsidP="008E4B25">
      <w:pPr>
        <w:rPr>
          <w:bdr w:val="none" w:sz="0" w:space="0" w:color="auto" w:frame="1"/>
        </w:rPr>
      </w:pPr>
    </w:p>
    <w:p w14:paraId="45D59DDA" w14:textId="77777777" w:rsidR="00D84F15" w:rsidRPr="00B90370" w:rsidRDefault="00D84F15" w:rsidP="00D84F15">
      <w:pPr>
        <w:ind w:left="720"/>
        <w:rPr>
          <w:bdr w:val="none" w:sz="0" w:space="0" w:color="auto" w:frame="1"/>
        </w:rPr>
      </w:pPr>
      <w:r w:rsidRPr="00B90370">
        <w:rPr>
          <w:bdr w:val="none" w:sz="0" w:space="0" w:color="auto" w:frame="1"/>
        </w:rPr>
        <w:t>c)</w:t>
      </w:r>
      <w:r w:rsidRPr="00B90370">
        <w:rPr>
          <w:bdr w:val="none" w:sz="0" w:space="0" w:color="auto" w:frame="1"/>
        </w:rPr>
        <w:tab/>
        <w:t>The Program Administrator identified for each applicant must have:</w:t>
      </w:r>
    </w:p>
    <w:p w14:paraId="2F159DC5" w14:textId="77777777" w:rsidR="00D84F15" w:rsidRPr="00B90370" w:rsidRDefault="00D84F15" w:rsidP="00D84F15">
      <w:pPr>
        <w:rPr>
          <w:bdr w:val="none" w:sz="0" w:space="0" w:color="auto" w:frame="1"/>
        </w:rPr>
      </w:pPr>
    </w:p>
    <w:p w14:paraId="6B5265C8" w14:textId="1120E68C" w:rsidR="00D84F15" w:rsidRPr="00B90370" w:rsidRDefault="00D84F15" w:rsidP="00D84F15">
      <w:pPr>
        <w:ind w:left="2160" w:hanging="720"/>
        <w:rPr>
          <w:bdr w:val="none" w:sz="0" w:space="0" w:color="auto" w:frame="1"/>
        </w:rPr>
      </w:pPr>
      <w:r w:rsidRPr="00B90370">
        <w:rPr>
          <w:bdr w:val="none" w:sz="0" w:space="0" w:color="auto" w:frame="1"/>
        </w:rPr>
        <w:t>1)</w:t>
      </w:r>
      <w:r w:rsidRPr="00B90370">
        <w:rPr>
          <w:bdr w:val="none" w:sz="0" w:space="0" w:color="auto" w:frame="1"/>
        </w:rPr>
        <w:tab/>
        <w:t xml:space="preserve">Strong capabilities, experience, and knowledge related to Program development and financial management; </w:t>
      </w:r>
    </w:p>
    <w:p w14:paraId="36393AD6" w14:textId="77777777" w:rsidR="004820B1" w:rsidRPr="00B90370" w:rsidRDefault="004820B1" w:rsidP="008E4B25">
      <w:pPr>
        <w:rPr>
          <w:bdr w:val="none" w:sz="0" w:space="0" w:color="auto" w:frame="1"/>
        </w:rPr>
      </w:pPr>
    </w:p>
    <w:p w14:paraId="531793FB" w14:textId="4C930380" w:rsidR="00D84F15" w:rsidRPr="00B90370" w:rsidRDefault="00D84F15" w:rsidP="00D84F15">
      <w:pPr>
        <w:ind w:left="2160" w:hanging="720"/>
        <w:rPr>
          <w:bdr w:val="none" w:sz="0" w:space="0" w:color="auto" w:frame="1"/>
        </w:rPr>
      </w:pPr>
      <w:r w:rsidRPr="00B90370">
        <w:rPr>
          <w:bdr w:val="none" w:sz="0" w:space="0" w:color="auto" w:frame="1"/>
        </w:rPr>
        <w:t>2)</w:t>
      </w:r>
      <w:r w:rsidRPr="00B90370">
        <w:rPr>
          <w:bdr w:val="none" w:sz="0" w:space="0" w:color="auto" w:frame="1"/>
        </w:rPr>
        <w:tab/>
        <w:t>Cultural and language competency needed to be effective in the communities to be served;</w:t>
      </w:r>
    </w:p>
    <w:p w14:paraId="3EFA2496" w14:textId="77777777" w:rsidR="004820B1" w:rsidRPr="00B90370" w:rsidRDefault="004820B1" w:rsidP="008E4B25">
      <w:pPr>
        <w:rPr>
          <w:bdr w:val="none" w:sz="0" w:space="0" w:color="auto" w:frame="1"/>
        </w:rPr>
      </w:pPr>
    </w:p>
    <w:p w14:paraId="4A94D46E" w14:textId="77777777" w:rsidR="00D84F15" w:rsidRPr="00B90370" w:rsidRDefault="00D84F15" w:rsidP="00D84F15">
      <w:pPr>
        <w:ind w:left="2160" w:hanging="720"/>
        <w:rPr>
          <w:bdr w:val="none" w:sz="0" w:space="0" w:color="auto" w:frame="1"/>
        </w:rPr>
      </w:pPr>
      <w:r w:rsidRPr="00B90370">
        <w:rPr>
          <w:bdr w:val="none" w:sz="0" w:space="0" w:color="auto" w:frame="1"/>
        </w:rPr>
        <w:t>3)</w:t>
      </w:r>
      <w:r w:rsidRPr="00B90370">
        <w:rPr>
          <w:bdr w:val="none" w:sz="0" w:space="0" w:color="auto" w:frame="1"/>
        </w:rPr>
        <w:tab/>
        <w:t>Knowledge and experience working with committed persons or justice-involved persons;</w:t>
      </w:r>
    </w:p>
    <w:p w14:paraId="4AA66E68" w14:textId="77777777" w:rsidR="00D84F15" w:rsidRPr="00B90370" w:rsidRDefault="00D84F15" w:rsidP="008E4B25">
      <w:pPr>
        <w:rPr>
          <w:bdr w:val="none" w:sz="0" w:space="0" w:color="auto" w:frame="1"/>
        </w:rPr>
      </w:pPr>
    </w:p>
    <w:p w14:paraId="6DE65B94" w14:textId="77777777" w:rsidR="00D84F15" w:rsidRPr="00B90370" w:rsidRDefault="00D84F15" w:rsidP="00D84F15">
      <w:pPr>
        <w:ind w:left="2160" w:hanging="720"/>
        <w:rPr>
          <w:bdr w:val="none" w:sz="0" w:space="0" w:color="auto" w:frame="1"/>
        </w:rPr>
      </w:pPr>
      <w:r w:rsidRPr="00B90370">
        <w:rPr>
          <w:bdr w:val="none" w:sz="0" w:space="0" w:color="auto" w:frame="1"/>
        </w:rPr>
        <w:t>4)</w:t>
      </w:r>
      <w:r w:rsidRPr="00B90370">
        <w:rPr>
          <w:bdr w:val="none" w:sz="0" w:space="0" w:color="auto" w:frame="1"/>
        </w:rPr>
        <w:tab/>
        <w:t>Knowledge and experience in working with providers of clean energy jobs; and</w:t>
      </w:r>
    </w:p>
    <w:p w14:paraId="395427C4" w14:textId="77777777" w:rsidR="00D84F15" w:rsidRPr="00B90370" w:rsidRDefault="00D84F15" w:rsidP="008E4B25">
      <w:pPr>
        <w:rPr>
          <w:bdr w:val="none" w:sz="0" w:space="0" w:color="auto" w:frame="1"/>
        </w:rPr>
      </w:pPr>
    </w:p>
    <w:p w14:paraId="6C864C5D" w14:textId="77777777" w:rsidR="00D84F15" w:rsidRPr="00B90370" w:rsidRDefault="00D84F15" w:rsidP="00D84F15">
      <w:pPr>
        <w:ind w:left="2160" w:hanging="720"/>
        <w:rPr>
          <w:bdr w:val="none" w:sz="0" w:space="0" w:color="auto" w:frame="1"/>
        </w:rPr>
      </w:pPr>
      <w:r w:rsidRPr="00B90370">
        <w:rPr>
          <w:bdr w:val="none" w:sz="0" w:space="0" w:color="auto" w:frame="1"/>
        </w:rPr>
        <w:lastRenderedPageBreak/>
        <w:t>5)</w:t>
      </w:r>
      <w:r w:rsidRPr="00B90370">
        <w:rPr>
          <w:bdr w:val="none" w:sz="0" w:space="0" w:color="auto" w:frame="1"/>
        </w:rPr>
        <w:tab/>
        <w:t xml:space="preserve">Awareness of clean energy and related sector trends and activities, workforce development best practices, regional workforce development needs, and community development. </w:t>
      </w:r>
    </w:p>
    <w:p w14:paraId="772C7488" w14:textId="77777777" w:rsidR="00D84F15" w:rsidRPr="00B90370" w:rsidRDefault="00D84F15" w:rsidP="00D84F15">
      <w:pPr>
        <w:rPr>
          <w:bdr w:val="none" w:sz="0" w:space="0" w:color="auto" w:frame="1"/>
        </w:rPr>
      </w:pPr>
    </w:p>
    <w:p w14:paraId="7F7F8335" w14:textId="70E18BB9" w:rsidR="00D84F15" w:rsidRPr="00B90370" w:rsidRDefault="00D84F15" w:rsidP="00D84F15">
      <w:pPr>
        <w:ind w:left="1440" w:hanging="720"/>
        <w:rPr>
          <w:bdr w:val="none" w:sz="0" w:space="0" w:color="auto" w:frame="1"/>
        </w:rPr>
      </w:pPr>
      <w:r w:rsidRPr="00B90370">
        <w:rPr>
          <w:bdr w:val="none" w:sz="0" w:space="0" w:color="auto" w:frame="1"/>
        </w:rPr>
        <w:t>d)</w:t>
      </w:r>
      <w:r w:rsidRPr="00B90370">
        <w:rPr>
          <w:bdr w:val="none" w:sz="0" w:space="0" w:color="auto" w:frame="1"/>
        </w:rPr>
        <w:tab/>
        <w:t xml:space="preserve">A Department of Corrections background check is required prior to being </w:t>
      </w:r>
      <w:r w:rsidR="00C239B6" w:rsidRPr="00B90370">
        <w:rPr>
          <w:bdr w:val="none" w:sz="0" w:space="0" w:color="auto" w:frame="1"/>
        </w:rPr>
        <w:t>awarded a grant</w:t>
      </w:r>
      <w:r w:rsidRPr="00B90370">
        <w:rPr>
          <w:bdr w:val="none" w:sz="0" w:space="0" w:color="auto" w:frame="1"/>
        </w:rPr>
        <w:t xml:space="preserve"> for the following program staff: </w:t>
      </w:r>
    </w:p>
    <w:p w14:paraId="59D9878E" w14:textId="77777777" w:rsidR="00D84F15" w:rsidRPr="00B90370" w:rsidRDefault="00D84F15" w:rsidP="008E4B25">
      <w:pPr>
        <w:rPr>
          <w:bdr w:val="none" w:sz="0" w:space="0" w:color="auto" w:frame="1"/>
        </w:rPr>
      </w:pPr>
    </w:p>
    <w:p w14:paraId="093243CE" w14:textId="77777777" w:rsidR="00D84F15" w:rsidRPr="00B90370" w:rsidRDefault="00D84F15" w:rsidP="00D84F15">
      <w:pPr>
        <w:ind w:left="1440"/>
        <w:rPr>
          <w:bdr w:val="none" w:sz="0" w:space="0" w:color="auto" w:frame="1"/>
        </w:rPr>
      </w:pPr>
      <w:r w:rsidRPr="00B90370">
        <w:rPr>
          <w:bdr w:val="none" w:sz="0" w:space="0" w:color="auto" w:frame="1"/>
        </w:rPr>
        <w:t>1)</w:t>
      </w:r>
      <w:r w:rsidRPr="00B90370">
        <w:rPr>
          <w:bdr w:val="none" w:sz="0" w:space="0" w:color="auto" w:frame="1"/>
        </w:rPr>
        <w:tab/>
        <w:t>The Program Administrator;</w:t>
      </w:r>
    </w:p>
    <w:p w14:paraId="685FFAEB" w14:textId="77777777" w:rsidR="00D84F15" w:rsidRPr="00B90370" w:rsidRDefault="00D84F15" w:rsidP="008E4B25">
      <w:pPr>
        <w:rPr>
          <w:bdr w:val="none" w:sz="0" w:space="0" w:color="auto" w:frame="1"/>
        </w:rPr>
      </w:pPr>
    </w:p>
    <w:p w14:paraId="4529F558" w14:textId="77777777" w:rsidR="00D84F15" w:rsidRPr="00B90370" w:rsidRDefault="00D84F15" w:rsidP="00D84F15">
      <w:pPr>
        <w:ind w:left="2160" w:hanging="720"/>
        <w:rPr>
          <w:bdr w:val="none" w:sz="0" w:space="0" w:color="auto" w:frame="1"/>
        </w:rPr>
      </w:pPr>
      <w:r w:rsidRPr="00B90370">
        <w:rPr>
          <w:bdr w:val="none" w:sz="0" w:space="0" w:color="auto" w:frame="1"/>
        </w:rPr>
        <w:t>2)</w:t>
      </w:r>
      <w:r w:rsidRPr="00B90370">
        <w:rPr>
          <w:bdr w:val="none" w:sz="0" w:space="0" w:color="auto" w:frame="1"/>
        </w:rPr>
        <w:tab/>
        <w:t>All instructors or staff who will have regular interactions with committed persons or regular access to a Department of Corrections facility; and</w:t>
      </w:r>
    </w:p>
    <w:p w14:paraId="75B600FD" w14:textId="77777777" w:rsidR="00D84F15" w:rsidRPr="00B90370" w:rsidRDefault="00D84F15" w:rsidP="008E4B25">
      <w:pPr>
        <w:rPr>
          <w:bdr w:val="none" w:sz="0" w:space="0" w:color="auto" w:frame="1"/>
        </w:rPr>
      </w:pPr>
    </w:p>
    <w:p w14:paraId="6250E9D0" w14:textId="77777777" w:rsidR="00D84F15" w:rsidRPr="00B90370" w:rsidRDefault="00D84F15" w:rsidP="00D84F15">
      <w:pPr>
        <w:ind w:left="2160" w:hanging="720"/>
        <w:rPr>
          <w:bdr w:val="none" w:sz="0" w:space="0" w:color="auto" w:frame="1"/>
        </w:rPr>
      </w:pPr>
      <w:r w:rsidRPr="00B90370">
        <w:rPr>
          <w:bdr w:val="none" w:sz="0" w:space="0" w:color="auto" w:frame="1"/>
        </w:rPr>
        <w:t>3)</w:t>
      </w:r>
      <w:r w:rsidRPr="00B90370">
        <w:rPr>
          <w:bdr w:val="none" w:sz="0" w:space="0" w:color="auto" w:frame="1"/>
        </w:rPr>
        <w:tab/>
        <w:t xml:space="preserve">All staff who will regularly access a committed person's personal identifying information or other data elements. </w:t>
      </w:r>
    </w:p>
    <w:p w14:paraId="5526ACCC" w14:textId="77777777" w:rsidR="00D84F15" w:rsidRPr="00B90370" w:rsidRDefault="00D84F15" w:rsidP="00D84F15">
      <w:pPr>
        <w:rPr>
          <w:bdr w:val="none" w:sz="0" w:space="0" w:color="auto" w:frame="1"/>
        </w:rPr>
      </w:pPr>
    </w:p>
    <w:p w14:paraId="47BFFEF4" w14:textId="1C370155" w:rsidR="00D84F15" w:rsidRPr="00B90370" w:rsidRDefault="004820B1" w:rsidP="004820B1">
      <w:pPr>
        <w:ind w:left="1440" w:hanging="720"/>
        <w:rPr>
          <w:bdr w:val="none" w:sz="0" w:space="0" w:color="auto" w:frame="1"/>
        </w:rPr>
      </w:pPr>
      <w:r w:rsidRPr="00B90370">
        <w:rPr>
          <w:bdr w:val="none" w:sz="0" w:space="0" w:color="auto" w:frame="1"/>
        </w:rPr>
        <w:t>e)</w:t>
      </w:r>
      <w:r w:rsidRPr="00B90370">
        <w:rPr>
          <w:bdr w:val="none" w:sz="0" w:space="0" w:color="auto" w:frame="1"/>
        </w:rPr>
        <w:tab/>
      </w:r>
      <w:r w:rsidR="00C239B6" w:rsidRPr="00B90370">
        <w:rPr>
          <w:bdr w:val="none" w:sz="0" w:space="0" w:color="auto" w:frame="1"/>
        </w:rPr>
        <w:t>Program staff shall comply with all DOC facility procedure</w:t>
      </w:r>
      <w:r w:rsidR="00633EC4" w:rsidRPr="00B90370">
        <w:rPr>
          <w:bdr w:val="none" w:sz="0" w:space="0" w:color="auto" w:frame="1"/>
        </w:rPr>
        <w:t>s</w:t>
      </w:r>
      <w:r w:rsidR="00C239B6" w:rsidRPr="00B90370">
        <w:rPr>
          <w:bdr w:val="none" w:sz="0" w:space="0" w:color="auto" w:frame="1"/>
        </w:rPr>
        <w:t xml:space="preserve"> and protocols.  A grantee's grant agreement may be terminated if a grantee staff member, subrecipient, or contractor fails to comply with DOC facility procedures or is otherwise found to constitute a safety or security risk and the grantee does not adequately address the safety or security risk posed by that individual within a reasonable time frame</w:t>
      </w:r>
      <w:r w:rsidR="00D84F15" w:rsidRPr="00B90370">
        <w:rPr>
          <w:bdr w:val="none" w:sz="0" w:space="0" w:color="auto" w:frame="1"/>
        </w:rPr>
        <w:t xml:space="preserve">. </w:t>
      </w:r>
    </w:p>
    <w:sectPr w:rsidR="00D84F15" w:rsidRPr="00B903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ED2A" w14:textId="77777777" w:rsidR="00D84F15" w:rsidRDefault="00D84F15">
      <w:r>
        <w:separator/>
      </w:r>
    </w:p>
  </w:endnote>
  <w:endnote w:type="continuationSeparator" w:id="0">
    <w:p w14:paraId="0C0A3D16" w14:textId="77777777" w:rsidR="00D84F15" w:rsidRDefault="00D8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AB96" w14:textId="77777777" w:rsidR="00D84F15" w:rsidRDefault="00D84F15">
      <w:r>
        <w:separator/>
      </w:r>
    </w:p>
  </w:footnote>
  <w:footnote w:type="continuationSeparator" w:id="0">
    <w:p w14:paraId="006DBA15" w14:textId="77777777" w:rsidR="00D84F15" w:rsidRDefault="00D84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A31"/>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0B1"/>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96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EC4"/>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B2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370"/>
    <w:rsid w:val="00BA2E0F"/>
    <w:rsid w:val="00BB0A4F"/>
    <w:rsid w:val="00BB230E"/>
    <w:rsid w:val="00BB6CAC"/>
    <w:rsid w:val="00BC000F"/>
    <w:rsid w:val="00BC00FF"/>
    <w:rsid w:val="00BC10C8"/>
    <w:rsid w:val="00BC4AC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9B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07495"/>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F1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611"/>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8DAFE"/>
  <w15:chartTrackingRefBased/>
  <w15:docId w15:val="{A4123AD0-986F-40DC-9A0C-B735668E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63877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419</Words>
  <Characters>2441</Characters>
  <Application>Microsoft Office Word</Application>
  <DocSecurity>0</DocSecurity>
  <Lines>20</Lines>
  <Paragraphs>5</Paragraphs>
  <ScaleCrop>false</ScaleCrop>
  <Company>Illinois General Assembly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11</cp:revision>
  <dcterms:created xsi:type="dcterms:W3CDTF">2024-06-24T18:44:00Z</dcterms:created>
  <dcterms:modified xsi:type="dcterms:W3CDTF">2025-05-30T12:57:00Z</dcterms:modified>
</cp:coreProperties>
</file>