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38" w:rsidRDefault="00576E38" w:rsidP="00576E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E38" w:rsidRDefault="00576E38" w:rsidP="00576E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1413.46  Also Eligibles Under 48- or 72-Hour Rule</w:t>
      </w:r>
      <w:r>
        <w:t xml:space="preserve"> </w:t>
      </w:r>
    </w:p>
    <w:p w:rsidR="00576E38" w:rsidRDefault="00576E38" w:rsidP="00576E38">
      <w:pPr>
        <w:widowControl w:val="0"/>
        <w:autoSpaceDE w:val="0"/>
        <w:autoSpaceDN w:val="0"/>
        <w:adjustRightInd w:val="0"/>
      </w:pPr>
    </w:p>
    <w:p w:rsidR="00576E38" w:rsidRDefault="00576E38" w:rsidP="00576E38">
      <w:pPr>
        <w:widowControl w:val="0"/>
        <w:autoSpaceDE w:val="0"/>
        <w:autoSpaceDN w:val="0"/>
        <w:adjustRightInd w:val="0"/>
      </w:pPr>
      <w:r>
        <w:t xml:space="preserve">Any horse entered on an overnight entry list as an also eligible may be entered in another race with a 48- or 72-hour entry box, and receive preference, provided a scratch is entered at the same time the entry into either entry box is made. </w:t>
      </w:r>
    </w:p>
    <w:p w:rsidR="00576E38" w:rsidRDefault="00576E38" w:rsidP="00576E38">
      <w:pPr>
        <w:widowControl w:val="0"/>
        <w:autoSpaceDE w:val="0"/>
        <w:autoSpaceDN w:val="0"/>
        <w:adjustRightInd w:val="0"/>
      </w:pPr>
    </w:p>
    <w:p w:rsidR="00576E38" w:rsidRDefault="00576E38" w:rsidP="00576E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21848, effective December 3, 1993) </w:t>
      </w:r>
    </w:p>
    <w:sectPr w:rsidR="00576E38" w:rsidSect="00576E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E38"/>
    <w:rsid w:val="0005542C"/>
    <w:rsid w:val="001678D1"/>
    <w:rsid w:val="001C6AD7"/>
    <w:rsid w:val="004D7FDB"/>
    <w:rsid w:val="005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