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48" w:rsidRDefault="00334A48" w:rsidP="00334A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4A48" w:rsidRDefault="00334A48" w:rsidP="00334A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502.110  Criteria for Determining Eligibility</w:t>
      </w:r>
      <w:r>
        <w:t xml:space="preserve"> </w:t>
      </w:r>
    </w:p>
    <w:p w:rsidR="00334A48" w:rsidRDefault="00334A48" w:rsidP="00334A48">
      <w:pPr>
        <w:widowControl w:val="0"/>
        <w:autoSpaceDE w:val="0"/>
        <w:autoSpaceDN w:val="0"/>
        <w:adjustRightInd w:val="0"/>
      </w:pPr>
    </w:p>
    <w:p w:rsidR="00334A48" w:rsidRDefault="00334A48" w:rsidP="00334A48">
      <w:pPr>
        <w:widowControl w:val="0"/>
        <w:autoSpaceDE w:val="0"/>
        <w:autoSpaceDN w:val="0"/>
        <w:adjustRightInd w:val="0"/>
      </w:pPr>
      <w:r>
        <w:t xml:space="preserve">In considering license applications, the Board shall consider those criteria set forth in Section 502.60 through 502.104. </w:t>
      </w:r>
    </w:p>
    <w:p w:rsidR="00334A48" w:rsidRDefault="00334A48" w:rsidP="00334A48">
      <w:pPr>
        <w:widowControl w:val="0"/>
        <w:autoSpaceDE w:val="0"/>
        <w:autoSpaceDN w:val="0"/>
        <w:adjustRightInd w:val="0"/>
      </w:pPr>
    </w:p>
    <w:p w:rsidR="00334A48" w:rsidRDefault="00334A48" w:rsidP="00334A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20611, effective January 1, 1988) </w:t>
      </w:r>
    </w:p>
    <w:sectPr w:rsidR="00334A48" w:rsidSect="00334A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A48"/>
    <w:rsid w:val="001678D1"/>
    <w:rsid w:val="00334A48"/>
    <w:rsid w:val="009473EE"/>
    <w:rsid w:val="00A66DDA"/>
    <w:rsid w:val="00D5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